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tblInd w:w="-142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078"/>
        <w:gridCol w:w="8635"/>
      </w:tblGrid>
      <w:tr>
        <w:tblPrEx/>
        <w:trPr>
          <w:tblCellSpacing w:w="0" w:type="dxa"/>
        </w:trPr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7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4677" w:leader="none"/>
                <w:tab w:val="left" w:pos="935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6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4677" w:leader="none"/>
                <w:tab w:val="left" w:pos="935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ПРОФЕССИОНАЛЬНОЕ ОБРАЗОВАТЕЛЬНОЕ УЧРЕЖДЕНИЕ 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661"/>
        <w:jc w:val="center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Рабочая программа профессионального модуля</w:t>
      </w:r>
      <w:r>
        <w:rPr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ПМ.</w:t>
      </w:r>
      <w:r>
        <w:rPr>
          <w:rFonts w:ascii="Times New Roman" w:hAnsi="Times New Roman" w:cs="Times New Roman"/>
          <w:sz w:val="28"/>
          <w:szCs w:val="28"/>
        </w:rPr>
        <w:t xml:space="preserve">03 Выполнение слесарно-ремонтных работ агрегатов и машин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15.01.35 Мастер слесарных работ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2025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61"/>
        <w:jc w:val="center"/>
        <w:spacing w:before="0" w:beforeAutospacing="0" w:after="0" w:afterAutospacing="0"/>
      </w:pPr>
      <w:r>
        <w:rPr>
          <w:b/>
          <w:bCs/>
          <w:sz w:val="22"/>
          <w:szCs w:val="22"/>
        </w:rPr>
        <w:t xml:space="preserve">СОДЕРЖАНИЕ ПРОГРАММЫ</w:t>
      </w:r>
      <w:r/>
    </w:p>
    <w:p>
      <w:pPr>
        <w:pStyle w:val="662"/>
        <w:jc w:val="center"/>
        <w:spacing w:before="0" w:beforeAutospacing="0" w:after="0" w:afterAutospacing="0"/>
      </w:pPr>
      <w:r>
        <w:t xml:space="preserve"> </w:t>
      </w:r>
      <w:r/>
    </w:p>
    <w:p>
      <w:pPr>
        <w:pStyle w:val="662"/>
        <w:spacing w:before="120" w:beforeAutospacing="0" w:after="0" w:afterAutospacing="0" w:line="273" w:lineRule="auto"/>
        <w:tabs>
          <w:tab w:val="left" w:pos="9640" w:leader="none"/>
        </w:tabs>
      </w:pPr>
      <w:r/>
      <w:hyperlink w:tooltip="#_Toc162370387" w:anchor="_Toc162370387" w:history="1">
        <w:r>
          <w:rPr>
            <w:rStyle w:val="663"/>
            <w:b/>
            <w:bCs/>
            <w:color w:val="auto"/>
            <w:sz w:val="22"/>
            <w:szCs w:val="22"/>
          </w:rPr>
          <w:t xml:space="preserve">1. Общая характеристика РАБОЧЕЙ ПРОГРАММЫ ПРОФЕССИОНАЛЬНОГО МОДУЛЯ</w:t>
        </w:r>
        <w:r>
          <w:rPr>
            <w:rStyle w:val="663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662"/>
        <w:ind w:left="240"/>
        <w:spacing w:before="120" w:beforeAutospacing="0" w:after="0" w:afterAutospacing="0"/>
        <w:tabs>
          <w:tab w:val="left" w:pos="960" w:leader="none"/>
          <w:tab w:val="left" w:pos="9640" w:leader="none"/>
        </w:tabs>
      </w:pPr>
      <w:r/>
      <w:hyperlink w:tooltip="#_Toc162370388" w:anchor="_Toc162370388" w:history="1">
        <w:r>
          <w:rPr>
            <w:rStyle w:val="663"/>
            <w:i/>
            <w:iCs/>
            <w:color w:val="auto"/>
          </w:rPr>
          <w:t xml:space="preserve">1.1.</w:t>
        </w:r>
        <w:r>
          <w:rPr>
            <w:rStyle w:val="663"/>
            <w:rFonts w:ascii="Calibri" w:hAnsi="Calibri" w:cs="Calibri"/>
            <w:color w:val="auto"/>
            <w:sz w:val="22"/>
            <w:szCs w:val="22"/>
          </w:rPr>
          <w:tab/>
        </w:r>
        <w:r>
          <w:rPr>
            <w:rStyle w:val="663"/>
            <w:i/>
            <w:iCs/>
            <w:color w:val="auto"/>
          </w:rPr>
          <w:t xml:space="preserve">Цель и место профессионального модуля в структуре образовательной программы</w:t>
        </w:r>
        <w:r>
          <w:rPr>
            <w:rStyle w:val="663"/>
            <w:i/>
            <w:iCs/>
            <w:color w:val="auto"/>
          </w:rPr>
          <w:tab/>
        </w:r>
      </w:hyperlink>
      <w:r/>
      <w:r/>
    </w:p>
    <w:p>
      <w:pPr>
        <w:pStyle w:val="662"/>
        <w:ind w:left="240"/>
        <w:spacing w:before="120" w:beforeAutospacing="0" w:after="0" w:afterAutospacing="0"/>
        <w:tabs>
          <w:tab w:val="left" w:pos="960" w:leader="none"/>
          <w:tab w:val="left" w:pos="9640" w:leader="none"/>
        </w:tabs>
      </w:pPr>
      <w:r/>
      <w:hyperlink w:tooltip="#_Toc162370389" w:anchor="_Toc162370389" w:history="1">
        <w:r>
          <w:rPr>
            <w:rStyle w:val="663"/>
            <w:i/>
            <w:iCs/>
            <w:color w:val="auto"/>
          </w:rPr>
          <w:t xml:space="preserve">1.2.</w:t>
        </w:r>
        <w:r>
          <w:rPr>
            <w:rStyle w:val="663"/>
            <w:rFonts w:ascii="Calibri" w:hAnsi="Calibri" w:cs="Calibri"/>
            <w:color w:val="auto"/>
            <w:sz w:val="22"/>
            <w:szCs w:val="22"/>
          </w:rPr>
          <w:tab/>
        </w:r>
        <w:r>
          <w:rPr>
            <w:rStyle w:val="663"/>
            <w:i/>
            <w:iCs/>
            <w:color w:val="auto"/>
          </w:rPr>
          <w:t xml:space="preserve">Планируемые результаты освоения профессионального модуля</w:t>
        </w:r>
        <w:r>
          <w:rPr>
            <w:rStyle w:val="663"/>
            <w:i/>
            <w:iCs/>
            <w:color w:val="auto"/>
          </w:rPr>
          <w:tab/>
        </w:r>
      </w:hyperlink>
      <w:r/>
      <w:r/>
    </w:p>
    <w:p>
      <w:pPr>
        <w:pStyle w:val="662"/>
        <w:ind w:left="240"/>
        <w:spacing w:before="120" w:beforeAutospacing="0" w:after="0" w:afterAutospacing="0"/>
        <w:tabs>
          <w:tab w:val="left" w:pos="960" w:leader="none"/>
          <w:tab w:val="left" w:pos="9640" w:leader="none"/>
        </w:tabs>
      </w:pPr>
      <w:r/>
      <w:hyperlink w:tooltip="#_Toc162370390" w:anchor="_Toc162370390" w:history="1">
        <w:r>
          <w:rPr>
            <w:rStyle w:val="663"/>
            <w:i/>
            <w:iCs/>
            <w:color w:val="auto"/>
          </w:rPr>
          <w:t xml:space="preserve">1.3.</w:t>
        </w:r>
        <w:r>
          <w:rPr>
            <w:rStyle w:val="663"/>
            <w:rFonts w:ascii="Calibri" w:hAnsi="Calibri" w:cs="Calibri"/>
            <w:color w:val="auto"/>
            <w:sz w:val="22"/>
            <w:szCs w:val="22"/>
          </w:rPr>
          <w:tab/>
        </w:r>
        <w:r>
          <w:rPr>
            <w:rStyle w:val="663"/>
            <w:i/>
            <w:iCs/>
            <w:color w:val="auto"/>
          </w:rPr>
          <w:t xml:space="preserve">Обоснование часов вариативной части ОПОП-П</w:t>
        </w:r>
        <w:r>
          <w:rPr>
            <w:rStyle w:val="663"/>
            <w:i/>
            <w:iCs/>
            <w:color w:val="auto"/>
          </w:rPr>
          <w:tab/>
        </w:r>
      </w:hyperlink>
      <w:r/>
      <w:r/>
    </w:p>
    <w:p>
      <w:pPr>
        <w:pStyle w:val="662"/>
        <w:spacing w:before="120" w:beforeAutospacing="0" w:after="0" w:afterAutospacing="0" w:line="273" w:lineRule="auto"/>
        <w:tabs>
          <w:tab w:val="left" w:pos="9640" w:leader="none"/>
        </w:tabs>
      </w:pPr>
      <w:r/>
      <w:hyperlink w:tooltip="#_Toc162370391" w:anchor="_Toc162370391" w:history="1">
        <w:r>
          <w:rPr>
            <w:rStyle w:val="663"/>
            <w:b/>
            <w:bCs/>
            <w:color w:val="auto"/>
            <w:sz w:val="22"/>
            <w:szCs w:val="22"/>
          </w:rPr>
          <w:t xml:space="preserve">2. Структура и содержание профессионального модуля</w:t>
        </w:r>
        <w:r>
          <w:rPr>
            <w:rStyle w:val="663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662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62370392" w:anchor="_Toc162370392" w:history="1">
        <w:r>
          <w:rPr>
            <w:rStyle w:val="663"/>
            <w:i/>
            <w:iCs/>
            <w:color w:val="auto"/>
          </w:rPr>
          <w:t xml:space="preserve">2.1. Трудоемкость освоения модуля</w:t>
        </w:r>
        <w:r>
          <w:rPr>
            <w:rStyle w:val="663"/>
            <w:i/>
            <w:iCs/>
            <w:color w:val="auto"/>
          </w:rPr>
          <w:tab/>
        </w:r>
      </w:hyperlink>
      <w:r/>
      <w:r/>
    </w:p>
    <w:p>
      <w:pPr>
        <w:pStyle w:val="662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62370393" w:anchor="_Toc162370393" w:history="1">
        <w:r>
          <w:rPr>
            <w:rStyle w:val="663"/>
            <w:i/>
            <w:iCs/>
            <w:color w:val="auto"/>
          </w:rPr>
          <w:t xml:space="preserve">2.2. Структура профессионального модуля</w:t>
        </w:r>
        <w:r>
          <w:rPr>
            <w:rStyle w:val="663"/>
            <w:i/>
            <w:iCs/>
            <w:color w:val="auto"/>
          </w:rPr>
          <w:tab/>
        </w:r>
      </w:hyperlink>
      <w:r/>
      <w:r/>
    </w:p>
    <w:p>
      <w:pPr>
        <w:pStyle w:val="662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62370394" w:anchor="_Toc162370394" w:history="1">
        <w:r>
          <w:rPr>
            <w:rStyle w:val="663"/>
            <w:i/>
            <w:iCs/>
            <w:color w:val="auto"/>
          </w:rPr>
          <w:t xml:space="preserve">2.3. Содержание профессионального модуля</w:t>
        </w:r>
        <w:r>
          <w:rPr>
            <w:rStyle w:val="663"/>
            <w:i/>
            <w:iCs/>
            <w:color w:val="auto"/>
          </w:rPr>
          <w:tab/>
        </w:r>
      </w:hyperlink>
      <w:r/>
      <w:r/>
    </w:p>
    <w:p>
      <w:pPr>
        <w:pStyle w:val="662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62370395" w:anchor="_Toc162370395" w:history="1">
        <w:r>
          <w:rPr>
            <w:rStyle w:val="663"/>
            <w:i/>
            <w:iCs/>
            <w:color w:val="auto"/>
          </w:rPr>
          <w:t xml:space="preserve">2.4. Курсовой проект (работа) (для специальностей СПО, если предусмотрено)</w:t>
        </w:r>
        <w:r>
          <w:rPr>
            <w:rStyle w:val="663"/>
            <w:i/>
            <w:iCs/>
            <w:color w:val="auto"/>
          </w:rPr>
          <w:tab/>
        </w:r>
      </w:hyperlink>
      <w:r/>
      <w:r/>
    </w:p>
    <w:p>
      <w:pPr>
        <w:pStyle w:val="662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62370396" w:anchor="_Toc162370396" w:history="1">
        <w:r>
          <w:rPr>
            <w:rStyle w:val="663"/>
            <w:i/>
            <w:iCs/>
            <w:color w:val="auto"/>
          </w:rPr>
          <w:t xml:space="preserve">…</w:t>
        </w:r>
        <w:r>
          <w:rPr>
            <w:rStyle w:val="663"/>
            <w:i/>
            <w:iCs/>
            <w:color w:val="auto"/>
          </w:rPr>
          <w:tab/>
        </w:r>
      </w:hyperlink>
      <w:r/>
      <w:r/>
    </w:p>
    <w:p>
      <w:pPr>
        <w:pStyle w:val="662"/>
        <w:spacing w:before="120" w:beforeAutospacing="0" w:after="0" w:afterAutospacing="0" w:line="273" w:lineRule="auto"/>
        <w:tabs>
          <w:tab w:val="left" w:pos="9640" w:leader="none"/>
        </w:tabs>
      </w:pPr>
      <w:r/>
      <w:hyperlink w:tooltip="#_Toc162370397" w:anchor="_Toc162370397" w:history="1">
        <w:r>
          <w:rPr>
            <w:rStyle w:val="663"/>
            <w:b/>
            <w:bCs/>
            <w:color w:val="auto"/>
            <w:sz w:val="22"/>
            <w:szCs w:val="22"/>
          </w:rPr>
          <w:t xml:space="preserve">3. Условия реализации профессионального модуля</w:t>
        </w:r>
        <w:r>
          <w:rPr>
            <w:rStyle w:val="663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662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62370398" w:anchor="_Toc162370398" w:history="1">
        <w:r>
          <w:rPr>
            <w:rStyle w:val="663"/>
            <w:i/>
            <w:iCs/>
            <w:color w:val="auto"/>
          </w:rPr>
          <w:t xml:space="preserve">3.1. Материально-техническое обеспечение</w:t>
        </w:r>
        <w:r>
          <w:rPr>
            <w:rStyle w:val="663"/>
            <w:i/>
            <w:iCs/>
            <w:color w:val="auto"/>
          </w:rPr>
          <w:tab/>
        </w:r>
      </w:hyperlink>
      <w:r/>
      <w:r/>
    </w:p>
    <w:p>
      <w:pPr>
        <w:pStyle w:val="662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62370399" w:anchor="_Toc162370399" w:history="1">
        <w:r>
          <w:rPr>
            <w:rStyle w:val="663"/>
            <w:i/>
            <w:iCs/>
            <w:color w:val="auto"/>
          </w:rPr>
          <w:t xml:space="preserve">3.2. Учебно-методическое обеспечение</w:t>
        </w:r>
        <w:r>
          <w:rPr>
            <w:rStyle w:val="663"/>
            <w:i/>
            <w:iCs/>
            <w:color w:val="auto"/>
          </w:rPr>
          <w:tab/>
        </w:r>
      </w:hyperlink>
      <w:r/>
      <w:r/>
    </w:p>
    <w:p>
      <w:pPr>
        <w:pStyle w:val="662"/>
        <w:spacing w:before="120" w:beforeAutospacing="0" w:after="0" w:afterAutospacing="0" w:line="273" w:lineRule="auto"/>
        <w:tabs>
          <w:tab w:val="left" w:pos="9640" w:leader="none"/>
        </w:tabs>
      </w:pPr>
      <w:r/>
      <w:hyperlink w:tooltip="#_Toc162370400" w:anchor="_Toc162370400" w:history="1">
        <w:r>
          <w:rPr>
            <w:rStyle w:val="663"/>
            <w:b/>
            <w:bCs/>
            <w:color w:val="auto"/>
            <w:sz w:val="22"/>
            <w:szCs w:val="22"/>
          </w:rPr>
          <w:t xml:space="preserve">4. Контроль и оценка результатов освоения  профессионального модуля</w:t>
        </w:r>
        <w:r>
          <w:rPr>
            <w:rStyle w:val="663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662"/>
        <w:spacing w:before="120" w:beforeAutospacing="0" w:after="0" w:afterAutospacing="0" w:line="273" w:lineRule="auto"/>
        <w:tabs>
          <w:tab w:val="left" w:pos="9640" w:leader="none"/>
        </w:tabs>
      </w:pPr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661"/>
        <w:jc w:val="center"/>
        <w:keepNext/>
        <w:spacing w:before="0" w:beforeAutospacing="0" w:after="120" w:afterAutospacing="0"/>
      </w:pPr>
      <w:r/>
      <w:bookmarkStart w:id="0" w:name="_Toc162370387"/>
      <w:r>
        <w:rPr>
          <w:rFonts w:ascii="Times New Roman Полужирный" w:hAnsi="Times New Roman Полужирный"/>
          <w:b/>
          <w:bCs/>
          <w:color w:val="000000"/>
        </w:rPr>
        <w:t xml:space="preserve">1. Общая характеристика</w:t>
      </w:r>
      <w:r>
        <w:rPr>
          <w:rFonts w:ascii="Calibri" w:hAnsi="Calibri" w:cs="Calibri"/>
          <w:b/>
          <w:bCs/>
          <w:color w:val="000000"/>
        </w:rPr>
        <w:t xml:space="preserve"> </w:t>
      </w:r>
      <w:r>
        <w:rPr>
          <w:b/>
          <w:bCs/>
          <w:color w:val="000000"/>
        </w:rPr>
        <w:t xml:space="preserve">РАБОЧЕЙ ПРОГРАММЫ ПРОФЕССИОНАЛЬНОГО МОДУЛЯ</w:t>
      </w:r>
      <w:bookmarkEnd w:id="0"/>
      <w:r/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ПМ.03 Выполнение слесарно-ремонтных работ агрегатов и машин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профессионального модуля в структуре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Цель модуля: освоение вида деятельности «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Выполнение слесарно-ремонтных работ агрегатов и машин».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Профессиональный модуль включен в обязательную часть образовательной программы.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1.2. Планируемые результаты освоения профессионального модуля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4.3.3 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 результате освоения профессионального модуля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обучающийся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должен: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102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29"/>
        <w:gridCol w:w="2833"/>
        <w:gridCol w:w="3121"/>
        <w:gridCol w:w="3118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29" w:type="dxa"/>
            <w:textDirection w:val="lrTb"/>
            <w:noWrap w:val="false"/>
          </w:tcPr>
          <w:p>
            <w:pPr>
              <w:rPr>
                <w:rStyle w:val="664"/>
                <w:b/>
                <w:i w:val="0"/>
              </w:rPr>
            </w:pPr>
            <w:r>
              <w:rPr>
                <w:rStyle w:val="664"/>
                <w:b/>
              </w:rPr>
              <w:t xml:space="preserve">Код </w:t>
            </w:r>
            <w:r>
              <w:rPr>
                <w:rStyle w:val="664"/>
                <w:b/>
              </w:rPr>
              <w:t xml:space="preserve">ОК</w:t>
            </w:r>
            <w:r>
              <w:rPr>
                <w:rStyle w:val="664"/>
                <w:b/>
              </w:rPr>
              <w:t xml:space="preserve">, ПК</w:t>
            </w:r>
            <w:r>
              <w:rPr>
                <w:rStyle w:val="664"/>
                <w:b/>
                <w:i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ind w:firstLine="70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Уметь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21" w:type="dxa"/>
            <w:textDirection w:val="lrTb"/>
            <w:noWrap w:val="false"/>
          </w:tcPr>
          <w:p>
            <w:pPr>
              <w:ind w:firstLine="709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</w:rPr>
              <w:t xml:space="preserve">Знать</w:t>
            </w:r>
            <w:r>
              <w:rPr>
                <w:rFonts w:ascii="Times New Roman" w:hAnsi="Times New Roman" w:cs="Times New Roman"/>
                <w:b/>
                <w:i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8" w:type="dxa"/>
            <w:textDirection w:val="lrTb"/>
            <w:noWrap w:val="false"/>
          </w:tcPr>
          <w:p>
            <w:pPr>
              <w:ind w:right="762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</w:rPr>
              <w:t xml:space="preserve">Владеть навыками</w:t>
            </w:r>
            <w:r>
              <w:rPr>
                <w:rFonts w:ascii="Times New Roman" w:hAnsi="Times New Roman" w:cs="Times New Roman"/>
                <w:b/>
                <w:i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2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ОК.01</w:t>
            </w:r>
            <w:r>
              <w:rPr>
                <w:rFonts w:ascii="Times New Roman" w:hAnsi="Times New Roman" w:cs="Times New Roman"/>
                <w:bCs/>
              </w:rPr>
            </w:r>
          </w:p>
        </w:tc>
        <w:tc>
          <w:tcPr>
            <w:tcW w:w="283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b/>
                <w:iCs/>
              </w:rPr>
            </w:pPr>
            <w:r>
              <w:rPr>
                <w:rFonts w:ascii="Times New Roman" w:hAnsi="Times New Roman" w:eastAsia="Calibri" w:cs="Times New Roman"/>
                <w:iCs/>
              </w:rPr>
              <w:t xml:space="preserve">распознавать задачу и/или проблему </w:t>
            </w:r>
            <w:r>
              <w:rPr>
                <w:rFonts w:ascii="Times New Roman" w:hAnsi="Times New Roman" w:eastAsia="Calibri" w:cs="Times New Roman"/>
                <w:iCs/>
              </w:rPr>
              <w:br/>
              <w:t xml:space="preserve">в профессиональном и/или социальном контексте</w:t>
            </w:r>
            <w:r>
              <w:rPr>
                <w:rFonts w:ascii="Times New Roman" w:hAnsi="Times New Roman" w:eastAsia="Calibri" w:cs="Times New Roman"/>
                <w:b/>
                <w:iCs/>
              </w:rPr>
            </w:r>
          </w:p>
          <w:p>
            <w:pPr>
              <w:rPr>
                <w:rFonts w:ascii="Times New Roman" w:hAnsi="Times New Roman" w:eastAsia="Calibri" w:cs="Times New Roman"/>
                <w:iCs/>
              </w:rPr>
            </w:pPr>
            <w:r>
              <w:rPr>
                <w:rFonts w:ascii="Times New Roman" w:hAnsi="Times New Roman" w:eastAsia="Calibri" w:cs="Times New Roman"/>
                <w:iCs/>
              </w:rPr>
              <w:t xml:space="preserve">анализировать задачу и/или проблему и выделять её составные части</w:t>
            </w:r>
            <w:r>
              <w:rPr>
                <w:rFonts w:ascii="Times New Roman" w:hAnsi="Times New Roman" w:eastAsia="Calibri" w:cs="Times New Roman"/>
                <w:iCs/>
              </w:rPr>
            </w:r>
          </w:p>
          <w:p>
            <w:pPr>
              <w:rPr>
                <w:rFonts w:ascii="Times New Roman" w:hAnsi="Times New Roman" w:eastAsia="Calibri" w:cs="Times New Roman"/>
                <w:iCs/>
              </w:rPr>
            </w:pPr>
            <w:r>
              <w:rPr>
                <w:rFonts w:ascii="Times New Roman" w:hAnsi="Times New Roman" w:eastAsia="Calibri" w:cs="Times New Roman"/>
                <w:iCs/>
              </w:rPr>
              <w:t xml:space="preserve">определять этапы решения задачи</w:t>
            </w:r>
            <w:r>
              <w:rPr>
                <w:rFonts w:ascii="Times New Roman" w:hAnsi="Times New Roman" w:eastAsia="Calibri" w:cs="Times New Roman"/>
                <w:iCs/>
              </w:rPr>
            </w:r>
          </w:p>
          <w:p>
            <w:pPr>
              <w:rPr>
                <w:rFonts w:ascii="Times New Roman" w:hAnsi="Times New Roman" w:eastAsia="Calibri" w:cs="Times New Roman"/>
                <w:iCs/>
              </w:rPr>
            </w:pPr>
            <w:r>
              <w:rPr>
                <w:rFonts w:ascii="Times New Roman" w:hAnsi="Times New Roman" w:eastAsia="Calibri" w:cs="Times New Roman"/>
                <w:iCs/>
              </w:rPr>
              <w:t xml:space="preserve">выявлять и эффективно искать информацию, необходимую для решения задачи и/или проблемы</w:t>
            </w:r>
            <w:r>
              <w:rPr>
                <w:rFonts w:ascii="Times New Roman" w:hAnsi="Times New Roman" w:eastAsia="Calibri" w:cs="Times New Roman"/>
                <w:iCs/>
              </w:rPr>
            </w:r>
          </w:p>
          <w:p>
            <w:pPr>
              <w:rPr>
                <w:rFonts w:ascii="Times New Roman" w:hAnsi="Times New Roman" w:eastAsia="Calibri" w:cs="Times New Roman"/>
                <w:iCs/>
              </w:rPr>
            </w:pPr>
            <w:r>
              <w:rPr>
                <w:rFonts w:ascii="Times New Roman" w:hAnsi="Times New Roman" w:eastAsia="Calibri" w:cs="Times New Roman"/>
                <w:iCs/>
              </w:rPr>
              <w:t xml:space="preserve">составлять план действия</w:t>
            </w:r>
            <w:r>
              <w:rPr>
                <w:rFonts w:ascii="Times New Roman" w:hAnsi="Times New Roman" w:eastAsia="Calibri" w:cs="Times New Roman"/>
                <w:iCs/>
              </w:rPr>
            </w:r>
          </w:p>
          <w:p>
            <w:pPr>
              <w:rPr>
                <w:rFonts w:ascii="Times New Roman" w:hAnsi="Times New Roman" w:eastAsia="Calibri" w:cs="Times New Roman"/>
                <w:iCs/>
              </w:rPr>
            </w:pPr>
            <w:r>
              <w:rPr>
                <w:rFonts w:ascii="Times New Roman" w:hAnsi="Times New Roman" w:eastAsia="Calibri" w:cs="Times New Roman"/>
                <w:iCs/>
              </w:rPr>
              <w:t xml:space="preserve">определять необходимые ресурсы</w:t>
            </w:r>
            <w:r>
              <w:rPr>
                <w:rFonts w:ascii="Times New Roman" w:hAnsi="Times New Roman" w:eastAsia="Calibri" w:cs="Times New Roman"/>
                <w:iCs/>
              </w:rPr>
            </w:r>
          </w:p>
          <w:p>
            <w:pPr>
              <w:rPr>
                <w:rFonts w:ascii="Times New Roman" w:hAnsi="Times New Roman" w:eastAsia="Calibri" w:cs="Times New Roman"/>
                <w:iCs/>
              </w:rPr>
            </w:pPr>
            <w:r>
              <w:rPr>
                <w:rFonts w:ascii="Times New Roman" w:hAnsi="Times New Roman" w:eastAsia="Calibri" w:cs="Times New Roman"/>
                <w:iCs/>
              </w:rPr>
              <w:t xml:space="preserve">владеть актуальными методами работы </w:t>
            </w:r>
            <w:r>
              <w:rPr>
                <w:rFonts w:ascii="Times New Roman" w:hAnsi="Times New Roman" w:eastAsia="Calibri" w:cs="Times New Roman"/>
                <w:iCs/>
              </w:rPr>
              <w:br/>
              <w:t xml:space="preserve">в профессиональной и смежных сферах</w:t>
            </w:r>
            <w:r>
              <w:rPr>
                <w:rFonts w:ascii="Times New Roman" w:hAnsi="Times New Roman" w:eastAsia="Calibri" w:cs="Times New Roman"/>
                <w:iCs/>
              </w:rPr>
            </w:r>
          </w:p>
          <w:p>
            <w:pPr>
              <w:rPr>
                <w:rFonts w:ascii="Times New Roman" w:hAnsi="Times New Roman" w:eastAsia="Calibri" w:cs="Times New Roman"/>
                <w:iCs/>
              </w:rPr>
            </w:pPr>
            <w:r>
              <w:rPr>
                <w:rFonts w:ascii="Times New Roman" w:hAnsi="Times New Roman" w:eastAsia="Calibri" w:cs="Times New Roman"/>
                <w:iCs/>
              </w:rPr>
              <w:t xml:space="preserve">реализовывать составленный план</w:t>
            </w:r>
            <w:r>
              <w:rPr>
                <w:rFonts w:ascii="Times New Roman" w:hAnsi="Times New Roman" w:eastAsia="Calibri" w:cs="Times New Roman"/>
                <w:iCs/>
              </w:rPr>
            </w:r>
          </w:p>
          <w:p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eastAsia="Calibri" w:cs="Times New Roman"/>
                <w:iCs/>
              </w:rPr>
              <w:t xml:space="preserve">оценивать результат и </w:t>
            </w:r>
            <w:r>
              <w:rPr>
                <w:rFonts w:ascii="Times New Roman" w:hAnsi="Times New Roman" w:eastAsia="Calibri" w:cs="Times New Roman"/>
                <w:iCs/>
              </w:rPr>
              <w:t xml:space="preserve">последствия своих действий (самостоятельно или с помощью наставника)</w:t>
            </w:r>
            <w:r>
              <w:rPr>
                <w:rFonts w:ascii="Times New Roman" w:hAnsi="Times New Roman" w:cs="Times New Roman"/>
                <w:bCs/>
              </w:rPr>
            </w:r>
          </w:p>
        </w:tc>
        <w:tc>
          <w:tcPr>
            <w:tcW w:w="3121" w:type="dxa"/>
            <w:textDirection w:val="lrTb"/>
            <w:noWrap w:val="false"/>
          </w:tcPr>
          <w:p>
            <w:pPr>
              <w:ind w:firstLine="19"/>
              <w:rPr>
                <w:rFonts w:ascii="Times New Roman" w:hAnsi="Times New Roman" w:eastAsia="Calibri" w:cs="Times New Roman"/>
                <w:bCs/>
              </w:rPr>
            </w:pPr>
            <w:r>
              <w:rPr>
                <w:rFonts w:ascii="Times New Roman" w:hAnsi="Times New Roman" w:eastAsia="Calibri" w:cs="Times New Roman"/>
                <w:iCs/>
              </w:rPr>
              <w:t xml:space="preserve">а</w:t>
            </w:r>
            <w:r>
              <w:rPr>
                <w:rFonts w:ascii="Times New Roman" w:hAnsi="Times New Roman" w:eastAsia="Calibri" w:cs="Times New Roman"/>
                <w:bCs/>
              </w:rPr>
              <w:t xml:space="preserve">ктуальный профессиональный и социальный контекст, в котором приходится работать и жить </w:t>
            </w:r>
            <w:r>
              <w:rPr>
                <w:rFonts w:ascii="Times New Roman" w:hAnsi="Times New Roman" w:eastAsia="Calibri" w:cs="Times New Roman"/>
                <w:bCs/>
              </w:rPr>
            </w:r>
          </w:p>
          <w:p>
            <w:pPr>
              <w:ind w:firstLine="19"/>
              <w:rPr>
                <w:rFonts w:ascii="Times New Roman" w:hAnsi="Times New Roman" w:eastAsia="Calibri" w:cs="Times New Roman"/>
                <w:b/>
                <w:iCs/>
              </w:rPr>
            </w:pPr>
            <w:r>
              <w:rPr>
                <w:rFonts w:ascii="Times New Roman" w:hAnsi="Times New Roman" w:eastAsia="Calibri" w:cs="Times New Roman"/>
                <w:bCs/>
              </w:rPr>
              <w:t xml:space="preserve">основные источники информации и ресурсы д</w:t>
            </w:r>
            <w:r>
              <w:rPr>
                <w:rFonts w:ascii="Times New Roman" w:hAnsi="Times New Roman" w:eastAsia="Calibri" w:cs="Times New Roman"/>
                <w:bCs/>
              </w:rPr>
              <w:br/>
              <w:t xml:space="preserve">ля решения задач и проблем в профессиональном и/или социальном контексте</w:t>
            </w:r>
            <w:r>
              <w:rPr>
                <w:rFonts w:ascii="Times New Roman" w:hAnsi="Times New Roman" w:eastAsia="Calibri" w:cs="Times New Roman"/>
                <w:b/>
                <w:iCs/>
              </w:rPr>
            </w:r>
          </w:p>
          <w:p>
            <w:pPr>
              <w:ind w:firstLine="19"/>
              <w:rPr>
                <w:rFonts w:ascii="Times New Roman" w:hAnsi="Times New Roman" w:eastAsia="Calibri" w:cs="Times New Roman"/>
                <w:b/>
                <w:iCs/>
              </w:rPr>
            </w:pPr>
            <w:r>
              <w:rPr>
                <w:rFonts w:ascii="Times New Roman" w:hAnsi="Times New Roman" w:eastAsia="Calibri" w:cs="Times New Roman"/>
                <w:bCs/>
              </w:rPr>
              <w:t xml:space="preserve">алгоритмы выполнения работ </w:t>
            </w:r>
            <w:r>
              <w:rPr>
                <w:rFonts w:ascii="Times New Roman" w:hAnsi="Times New Roman" w:eastAsia="Calibri" w:cs="Times New Roman"/>
                <w:bCs/>
              </w:rPr>
              <w:br/>
              <w:t xml:space="preserve">в </w:t>
            </w:r>
            <w:r>
              <w:rPr>
                <w:rFonts w:ascii="Times New Roman" w:hAnsi="Times New Roman" w:eastAsia="Calibri" w:cs="Times New Roman"/>
                <w:bCs/>
              </w:rPr>
              <w:t xml:space="preserve">профессиональной</w:t>
            </w:r>
            <w:r>
              <w:rPr>
                <w:rFonts w:ascii="Times New Roman" w:hAnsi="Times New Roman" w:eastAsia="Calibri" w:cs="Times New Roman"/>
                <w:bCs/>
              </w:rPr>
              <w:t xml:space="preserve"> и смежных областях</w:t>
            </w:r>
            <w:r>
              <w:rPr>
                <w:rFonts w:ascii="Times New Roman" w:hAnsi="Times New Roman" w:eastAsia="Calibri" w:cs="Times New Roman"/>
                <w:b/>
                <w:iCs/>
              </w:rPr>
            </w:r>
          </w:p>
          <w:p>
            <w:pPr>
              <w:ind w:firstLine="19"/>
              <w:rPr>
                <w:rFonts w:ascii="Times New Roman" w:hAnsi="Times New Roman" w:eastAsia="Calibri" w:cs="Times New Roman"/>
                <w:bCs/>
              </w:rPr>
            </w:pPr>
            <w:r>
              <w:rPr>
                <w:rFonts w:ascii="Times New Roman" w:hAnsi="Times New Roman" w:eastAsia="Calibri" w:cs="Times New Roman"/>
                <w:bCs/>
              </w:rPr>
              <w:t xml:space="preserve">методы работы в профессиональной и смежных сферах;</w:t>
            </w:r>
            <w:r>
              <w:rPr>
                <w:rFonts w:ascii="Times New Roman" w:hAnsi="Times New Roman" w:eastAsia="Calibri" w:cs="Times New Roman"/>
                <w:bCs/>
              </w:rPr>
            </w:r>
          </w:p>
          <w:p>
            <w:pPr>
              <w:ind w:firstLine="19"/>
              <w:rPr>
                <w:rFonts w:ascii="Times New Roman" w:hAnsi="Times New Roman" w:eastAsia="Calibri" w:cs="Times New Roman"/>
                <w:bCs/>
              </w:rPr>
            </w:pPr>
            <w:r>
              <w:rPr>
                <w:rFonts w:ascii="Times New Roman" w:hAnsi="Times New Roman" w:eastAsia="Calibri" w:cs="Times New Roman"/>
                <w:bCs/>
              </w:rPr>
              <w:t xml:space="preserve">структуру плана для решения задач</w:t>
            </w:r>
            <w:r>
              <w:rPr>
                <w:rFonts w:ascii="Times New Roman" w:hAnsi="Times New Roman" w:eastAsia="Calibri" w:cs="Times New Roman"/>
                <w:bCs/>
              </w:rPr>
            </w:r>
          </w:p>
          <w:p>
            <w:pPr>
              <w:ind w:firstLine="19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eastAsia="Calibri" w:cs="Times New Roman"/>
                <w:bCs/>
              </w:rPr>
              <w:t xml:space="preserve">порядок </w:t>
            </w:r>
            <w:r>
              <w:rPr>
                <w:rFonts w:ascii="Times New Roman" w:hAnsi="Times New Roman" w:eastAsia="Calibri" w:cs="Times New Roman"/>
                <w:bCs/>
              </w:rPr>
              <w:t xml:space="preserve">оценки результатов решения задач профессиональной деятельности</w:t>
            </w:r>
            <w:r>
              <w:rPr>
                <w:rFonts w:ascii="Times New Roman" w:hAnsi="Times New Roman" w:cs="Times New Roman"/>
                <w:bCs/>
                <w:i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8" w:type="dxa"/>
            <w:textDirection w:val="lrTb"/>
            <w:noWrap w:val="false"/>
          </w:tcPr>
          <w:p>
            <w:pPr>
              <w:ind w:right="620" w:firstLine="709"/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i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highlight w:val="green"/>
              </w:rPr>
            </w:pPr>
            <w:r>
              <w:rPr>
                <w:rFonts w:ascii="Times New Roman" w:hAnsi="Times New Roman" w:cs="Times New Roman"/>
              </w:rPr>
              <w:t xml:space="preserve">ОК.02</w:t>
            </w:r>
            <w:r>
              <w:rPr>
                <w:rFonts w:ascii="Times New Roman" w:hAnsi="Times New Roman" w:cs="Times New Roman"/>
                <w:bCs/>
                <w:highlight w:val="green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определять задачи для поиска информации</w:t>
            </w:r>
            <w:r>
              <w:rPr>
                <w:rFonts w:ascii="Times New Roman" w:hAnsi="Times New Roman" w:cs="Times New Roman"/>
                <w:bCs/>
                <w:iCs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определять необходимые источники информации</w:t>
            </w:r>
            <w:r>
              <w:rPr>
                <w:rFonts w:ascii="Times New Roman" w:hAnsi="Times New Roman" w:cs="Times New Roman"/>
                <w:bCs/>
                <w:iCs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планировать процесс поиска; структурировать получаемую информацию </w:t>
            </w:r>
            <w:r>
              <w:rPr>
                <w:rFonts w:ascii="Times New Roman" w:hAnsi="Times New Roman" w:cs="Times New Roman"/>
                <w:bCs/>
                <w:iCs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выделять наиболее 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значимое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в перечне информации</w:t>
            </w:r>
            <w:r>
              <w:rPr>
                <w:rFonts w:ascii="Times New Roman" w:hAnsi="Times New Roman" w:cs="Times New Roman"/>
                <w:bCs/>
                <w:iCs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оценивать практическую значимость результатов поиска</w:t>
            </w:r>
            <w:r>
              <w:rPr>
                <w:rFonts w:ascii="Times New Roman" w:hAnsi="Times New Roman" w:cs="Times New Roman"/>
                <w:bCs/>
                <w:iCs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оформлять результаты поиска, применять средства информационных технологий для решения профессиональных задач</w:t>
            </w:r>
            <w:r>
              <w:rPr>
                <w:rFonts w:ascii="Times New Roman" w:hAnsi="Times New Roman" w:cs="Times New Roman"/>
                <w:bCs/>
                <w:iCs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использовать современное программное обеспечение</w:t>
            </w:r>
            <w:r>
              <w:rPr>
                <w:rFonts w:ascii="Times New Roman" w:hAnsi="Times New Roman" w:cs="Times New Roman"/>
                <w:bCs/>
                <w:iCs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использовать различные цифровые средства </w:t>
            </w:r>
            <w:r>
              <w:rPr>
                <w:rFonts w:ascii="Times New Roman" w:hAnsi="Times New Roman" w:cs="Times New Roman"/>
                <w:bCs/>
                <w:iCs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  <w:highlight w:val="green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для решения профессиональных задач</w:t>
            </w:r>
            <w:r>
              <w:rPr>
                <w:rFonts w:ascii="Times New Roman" w:hAnsi="Times New Roman" w:cs="Times New Roman"/>
                <w:bCs/>
                <w:iCs/>
                <w:highlight w:val="green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2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номенклатура информационных источников, применяемых в профессиональной деятельности</w:t>
            </w:r>
            <w:r>
              <w:rPr>
                <w:rFonts w:ascii="Times New Roman" w:hAnsi="Times New Roman" w:cs="Times New Roman"/>
                <w:bCs/>
                <w:iCs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приемы структурирования информации</w:t>
            </w:r>
            <w:r>
              <w:rPr>
                <w:rFonts w:ascii="Times New Roman" w:hAnsi="Times New Roman" w:cs="Times New Roman"/>
                <w:bCs/>
                <w:iCs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формат оформления результатов поиска информации, современные средства и устройства информатизации</w:t>
            </w:r>
            <w:r>
              <w:rPr>
                <w:rFonts w:ascii="Times New Roman" w:hAnsi="Times New Roman" w:cs="Times New Roman"/>
                <w:bCs/>
                <w:iCs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порядок их применения и программное обеспечение в профессиональной деятельности </w:t>
            </w:r>
            <w:r>
              <w:rPr>
                <w:rFonts w:ascii="Times New Roman" w:hAnsi="Times New Roman" w:cs="Times New Roman"/>
                <w:bCs/>
                <w:iCs/>
              </w:rPr>
            </w:r>
          </w:p>
          <w:p>
            <w:pPr>
              <w:rPr>
                <w:rFonts w:ascii="Times New Roman" w:hAnsi="Times New Roman" w:cs="Times New Roman"/>
                <w:bCs/>
                <w:i/>
                <w:highlight w:val="green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в том числе с использованием цифровых средств</w:t>
            </w:r>
            <w:r>
              <w:rPr>
                <w:rFonts w:ascii="Times New Roman" w:hAnsi="Times New Roman" w:cs="Times New Roman"/>
                <w:bCs/>
                <w:i/>
                <w:highlight w:val="gree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8" w:type="dxa"/>
            <w:textDirection w:val="lrTb"/>
            <w:noWrap w:val="false"/>
          </w:tcPr>
          <w:p>
            <w:pPr>
              <w:ind w:firstLine="709"/>
              <w:jc w:val="center"/>
              <w:rPr>
                <w:rFonts w:ascii="Times New Roman" w:hAnsi="Times New Roman" w:cs="Times New Roman"/>
                <w:bCs/>
                <w:i/>
                <w:highlight w:val="green"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i/>
                <w:highlight w:val="green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highlight w:val="gree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ОК.04</w:t>
            </w:r>
            <w:r>
              <w:rPr>
                <w:rFonts w:ascii="Times New Roman" w:hAnsi="Times New Roman" w:cs="Times New Roman"/>
                <w:bCs/>
                <w:highlight w:val="green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организовывать работу коллектива и команды</w:t>
            </w:r>
            <w:r>
              <w:rPr>
                <w:rFonts w:ascii="Times New Roman" w:hAnsi="Times New Roman" w:cs="Times New Roman"/>
                <w:bCs/>
                <w:iCs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  <w:highlight w:val="green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 w:cs="Times New Roman"/>
                <w:bCs/>
                <w:iCs/>
                <w:highlight w:val="green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2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психологические основы деятельности коллектива, психологические особенности личности</w:t>
            </w:r>
            <w:r>
              <w:rPr>
                <w:rFonts w:ascii="Times New Roman" w:hAnsi="Times New Roman" w:cs="Times New Roman"/>
                <w:bCs/>
                <w:iCs/>
              </w:rPr>
            </w:r>
          </w:p>
          <w:p>
            <w:pPr>
              <w:rPr>
                <w:rFonts w:ascii="Times New Roman" w:hAnsi="Times New Roman" w:cs="Times New Roman"/>
                <w:bCs/>
                <w:iCs/>
                <w:highlight w:val="green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основы проектной деятельности</w:t>
            </w:r>
            <w:r>
              <w:rPr>
                <w:rFonts w:ascii="Times New Roman" w:hAnsi="Times New Roman" w:cs="Times New Roman"/>
                <w:bCs/>
                <w:iCs/>
                <w:highlight w:val="gree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8" w:type="dxa"/>
            <w:textDirection w:val="lrTb"/>
            <w:noWrap w:val="false"/>
          </w:tcPr>
          <w:p>
            <w:pPr>
              <w:ind w:firstLine="709"/>
              <w:jc w:val="center"/>
              <w:rPr>
                <w:rFonts w:ascii="Times New Roman" w:hAnsi="Times New Roman" w:cs="Times New Roman"/>
                <w:bCs/>
                <w:i/>
                <w:highlight w:val="green"/>
              </w:rPr>
            </w:pPr>
            <w:r>
              <w:rPr>
                <w:rFonts w:ascii="Times New Roman" w:hAnsi="Times New Roman" w:cs="Times New Roman"/>
                <w:bCs/>
                <w:i/>
                <w:highlight w:val="green"/>
              </w:rPr>
            </w:r>
            <w:r>
              <w:rPr>
                <w:rFonts w:ascii="Times New Roman" w:hAnsi="Times New Roman" w:cs="Times New Roman"/>
                <w:bCs/>
                <w:i/>
                <w:highlight w:val="green"/>
              </w:rPr>
            </w:r>
          </w:p>
        </w:tc>
      </w:tr>
      <w:tr>
        <w:tblPrEx/>
        <w:trPr>
          <w:trHeight w:val="327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112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ОК. 06</w:t>
            </w:r>
            <w:r>
              <w:rPr>
                <w:rFonts w:ascii="Times New Roman" w:hAnsi="Times New Roman" w:cs="Times New Roman"/>
                <w:bCs/>
              </w:rPr>
            </w:r>
          </w:p>
        </w:tc>
        <w:tc>
          <w:tcPr>
            <w:shd w:val="clear" w:color="auto" w:fill="auto"/>
            <w:tcW w:w="2833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b/>
                <w:bCs/>
                <w:iCs/>
              </w:rPr>
            </w:pPr>
            <w:r>
              <w:rPr>
                <w:rFonts w:ascii="Times New Roman" w:hAnsi="Times New Roman" w:eastAsia="Calibri" w:cs="Times New Roman"/>
              </w:rPr>
              <w:t xml:space="preserve">проявлять гражданско-патриотическую позицию</w:t>
            </w:r>
            <w:r>
              <w:rPr>
                <w:rFonts w:ascii="Times New Roman" w:hAnsi="Times New Roman" w:eastAsia="Calibri" w:cs="Times New Roman"/>
                <w:b/>
                <w:bCs/>
                <w:iCs/>
              </w:rPr>
            </w:r>
          </w:p>
          <w:p>
            <w:pPr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демонстрировать осознанное поведение</w:t>
            </w:r>
            <w:r>
              <w:rPr>
                <w:rFonts w:ascii="Times New Roman" w:hAnsi="Times New Roman" w:eastAsia="Calibri" w:cs="Times New Roman"/>
              </w:rPr>
            </w:r>
          </w:p>
          <w:p>
            <w:pPr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описывать значимость </w:t>
            </w: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своей </w:t>
            </w:r>
            <w:r>
              <w:rPr>
                <w:rFonts w:ascii="Times New Roman" w:hAnsi="Times New Roman" w:eastAsia="Calibri" w:cs="Times New Roman"/>
                <w:bCs/>
              </w:rPr>
              <w:t xml:space="preserve">профессии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widowControl w:val="off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применять стандарты антикоррупционного поведения</w:t>
            </w:r>
            <w:r>
              <w:rPr>
                <w:rFonts w:ascii="Times New Roman" w:hAnsi="Times New Roman" w:cs="Times New Roman"/>
                <w:bCs/>
              </w:rPr>
            </w:r>
          </w:p>
        </w:tc>
        <w:tc>
          <w:tcPr>
            <w:tcW w:w="3121" w:type="dxa"/>
            <w:textDirection w:val="lrTb"/>
            <w:noWrap w:val="false"/>
          </w:tcPr>
          <w:p>
            <w:pPr>
              <w:rPr>
                <w:rFonts w:ascii="Times New Roman" w:hAnsi="Times New Roman" w:eastAsia="Calibri" w:cs="Times New Roman"/>
                <w:b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сущность гражданско-патриотической позиции</w:t>
            </w:r>
            <w:r>
              <w:rPr>
                <w:rFonts w:ascii="Times New Roman" w:hAnsi="Times New Roman" w:eastAsia="Calibri" w:cs="Times New Roman"/>
                <w:b/>
                <w:bCs/>
                <w:iCs/>
              </w:rPr>
            </w:r>
          </w:p>
          <w:p>
            <w:pPr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традиционных общечеловеческих ценностей, в том</w:t>
            </w:r>
            <w:r>
              <w:rPr>
                <w:rFonts w:ascii="Times New Roman" w:hAnsi="Times New Roman" w:eastAsia="Calibri" w:cs="Times New Roman"/>
              </w:rPr>
              <w:t xml:space="preserve"> числе с учетом </w:t>
            </w:r>
            <w:r>
              <w:rPr>
                <w:rFonts w:ascii="Times New Roman" w:hAnsi="Times New Roman" w:eastAsia="Calibri" w:cs="Times New Roman"/>
              </w:rPr>
              <w:t xml:space="preserve">гармонизации межнациональных и межрелигиозных отношений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значимость профессиональной деятельности по профессии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widowControl w:val="off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стандарты антикоррупционного поведения и последствия его нарушения</w:t>
            </w:r>
            <w:r>
              <w:rPr>
                <w:rFonts w:ascii="Times New Roman" w:hAnsi="Times New Roman" w:cs="Times New Roman"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ind w:firstLine="709"/>
              <w:widowControl w:val="off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</w:tc>
      </w:tr>
      <w:tr>
        <w:tblPrEx/>
        <w:trPr>
          <w:trHeight w:val="327"/>
        </w:trPr>
        <w:tc>
          <w:tcPr>
            <w:tcW w:w="112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color w:val="ff0000"/>
              </w:rPr>
            </w:pPr>
            <w:r>
              <w:rPr>
                <w:rStyle w:val="664"/>
                <w:bCs/>
              </w:rPr>
              <w:t xml:space="preserve">ПК 3.1.</w:t>
            </w:r>
            <w:r>
              <w:rPr>
                <w:rFonts w:ascii="Times New Roman" w:hAnsi="Times New Roman" w:cs="Times New Roman"/>
                <w:bCs/>
                <w:color w:val="ff0000"/>
              </w:rPr>
            </w:r>
          </w:p>
        </w:tc>
        <w:tc>
          <w:tcPr>
            <w:shd w:val="clear" w:color="auto" w:fill="auto"/>
            <w:tcW w:w="2833" w:type="dxa"/>
            <w:textDirection w:val="lrTb"/>
            <w:noWrap w:val="false"/>
          </w:tcPr>
          <w:p>
            <w:pPr>
              <w:ind w:firstLine="21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читать чертежи механизмов оборудования средней сложности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21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подготавливать рабочее место для наиболее рационального и безопасного выполнения работ по сборке и разборке механизмов оборудования средней сложности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21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выбирать инструмент для производства работ по сборке и разборке механизмов оборудования средней сложности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21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использовать персональную вычислительную технику для просмотра чертежей механизмов оборудования средней сложности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21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печатать чертежи механизмов оборудования средней сложности с использованием устройств вывода графической и текстовой информации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21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выполнять подготовку механизмов оборудования средней сложности к сборке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21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производить сборку, разборку механизмов оборудования средней </w:t>
            </w: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сложности в соответствии с технической документацией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21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выбирать смазочные материалы, применяемые для данного оборудования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21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разбирать и собирать шкивы, муфты механизмов оборудования средней сложности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21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производить измерения деталей и узлов механизмов оборудования средней сложности при помощи контрольно-измерительных инструментов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21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изготавливать приспособления для разборки и сборки механизмов оборудования средней сложности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21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осуществлять </w:t>
            </w: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строповку</w:t>
            </w: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 и перемещение механизмов оборудования средней сложности с помощью подъемно-транспортных и специальных сре</w:t>
            </w: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дств в пр</w:t>
            </w: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еделах рабочего места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21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контролировать взаимное расположение узлов и деталей механизмов оборудования средней сложности после сборки и монтажа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21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</w:tc>
        <w:tc>
          <w:tcPr>
            <w:tcW w:w="3121" w:type="dxa"/>
            <w:textDirection w:val="lrTb"/>
            <w:noWrap w:val="false"/>
          </w:tcPr>
          <w:p>
            <w:pPr>
              <w:tabs>
                <w:tab w:val="left" w:pos="286" w:leader="none"/>
              </w:tabs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требований, предъявляемых к рабочему месту для производства работ по сборке и разборке механизмов оборудования средней сложности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numPr>
                <w:ilvl w:val="0"/>
                <w:numId w:val="1"/>
              </w:numPr>
              <w:ind w:left="0" w:firstLine="709"/>
              <w:spacing w:after="0" w:line="240" w:lineRule="auto"/>
              <w:tabs>
                <w:tab w:val="left" w:pos="286" w:leader="none"/>
              </w:tabs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видов, конструкций, назначения, возможностей и правил использования инструментов и приспособлений для производства работ по сборке и разборке механизмов оборудования средней сложности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numPr>
                <w:ilvl w:val="0"/>
                <w:numId w:val="1"/>
              </w:numPr>
              <w:ind w:left="0" w:firstLine="709"/>
              <w:spacing w:after="0" w:line="240" w:lineRule="auto"/>
              <w:tabs>
                <w:tab w:val="left" w:pos="286" w:leader="none"/>
              </w:tabs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прикладных компьютерных программ для просмотра текстовой и графической информации: наименования, возможности и порядок работы в них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numPr>
                <w:ilvl w:val="0"/>
                <w:numId w:val="1"/>
              </w:numPr>
              <w:ind w:left="0" w:firstLine="709"/>
              <w:spacing w:after="0" w:line="240" w:lineRule="auto"/>
              <w:tabs>
                <w:tab w:val="left" w:pos="286" w:leader="none"/>
              </w:tabs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основных форматов представления электронной графической и текстовой информации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numPr>
                <w:ilvl w:val="0"/>
                <w:numId w:val="1"/>
              </w:numPr>
              <w:ind w:left="0" w:firstLine="709"/>
              <w:spacing w:after="0" w:line="240" w:lineRule="auto"/>
              <w:tabs>
                <w:tab w:val="left" w:pos="286" w:leader="none"/>
              </w:tabs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последовательности монтажа, демонтажа механизмов оборудования средней сложности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numPr>
                <w:ilvl w:val="0"/>
                <w:numId w:val="1"/>
              </w:numPr>
              <w:ind w:left="0" w:firstLine="709"/>
              <w:spacing w:after="0" w:line="240" w:lineRule="auto"/>
              <w:tabs>
                <w:tab w:val="left" w:pos="286" w:leader="none"/>
              </w:tabs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последовательности сборки, разборки механизмов оборудования средней сложности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numPr>
                <w:ilvl w:val="0"/>
                <w:numId w:val="1"/>
              </w:numPr>
              <w:ind w:left="0" w:firstLine="709"/>
              <w:spacing w:after="0" w:line="240" w:lineRule="auto"/>
              <w:tabs>
                <w:tab w:val="left" w:pos="286" w:leader="none"/>
              </w:tabs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последовательности разборки и сборки шкивов, муфт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numPr>
                <w:ilvl w:val="0"/>
                <w:numId w:val="1"/>
              </w:numPr>
              <w:ind w:left="0" w:firstLine="709"/>
              <w:spacing w:after="0" w:line="240" w:lineRule="auto"/>
              <w:tabs>
                <w:tab w:val="left" w:pos="286" w:leader="none"/>
              </w:tabs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наименования, маркировки и правил применения масел, моющих составов и смазок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numPr>
                <w:ilvl w:val="0"/>
                <w:numId w:val="1"/>
              </w:numPr>
              <w:ind w:left="0" w:firstLine="709"/>
              <w:spacing w:after="0" w:line="240" w:lineRule="auto"/>
              <w:tabs>
                <w:tab w:val="left" w:pos="286" w:leader="none"/>
              </w:tabs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методов и способов контроля качества </w:t>
            </w: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разборки и сборки механизмов оборудования средней сложности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numPr>
                <w:ilvl w:val="0"/>
                <w:numId w:val="1"/>
              </w:numPr>
              <w:ind w:left="0" w:firstLine="709"/>
              <w:spacing w:after="0" w:line="240" w:lineRule="auto"/>
              <w:tabs>
                <w:tab w:val="left" w:pos="286" w:leader="none"/>
              </w:tabs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правил проведения грузоподъемных операций при перемещении грузов в пределах рабочего места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tabs>
                <w:tab w:val="left" w:pos="311" w:leader="none"/>
              </w:tabs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изучения конструкторской и технологической документации на собираемые и разбираемые механизмы оборудования средней сложности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numPr>
                <w:ilvl w:val="0"/>
                <w:numId w:val="2"/>
              </w:numPr>
              <w:ind w:left="0" w:firstLine="0"/>
              <w:spacing w:after="0" w:line="240" w:lineRule="auto"/>
              <w:tabs>
                <w:tab w:val="left" w:pos="311" w:leader="none"/>
              </w:tabs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подготовки рабочего места при сборке и разборке механизмов оборудования средней сложности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numPr>
                <w:ilvl w:val="0"/>
                <w:numId w:val="2"/>
              </w:numPr>
              <w:ind w:left="0" w:firstLine="0"/>
              <w:spacing w:after="0" w:line="240" w:lineRule="auto"/>
              <w:tabs>
                <w:tab w:val="left" w:pos="311" w:leader="none"/>
              </w:tabs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выбора инструмента и приспособлений для демонтажа, монтажа, сборки и разборки механизмов оборудования средней сложности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numPr>
                <w:ilvl w:val="0"/>
                <w:numId w:val="2"/>
              </w:numPr>
              <w:ind w:left="0" w:firstLine="0"/>
              <w:spacing w:after="0" w:line="240" w:lineRule="auto"/>
              <w:tabs>
                <w:tab w:val="left" w:pos="311" w:leader="none"/>
              </w:tabs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демонтажа, монтажа механизмов оборудования средней сложности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numPr>
                <w:ilvl w:val="0"/>
                <w:numId w:val="2"/>
              </w:numPr>
              <w:ind w:left="0" w:firstLine="0"/>
              <w:spacing w:after="0" w:line="240" w:lineRule="auto"/>
              <w:tabs>
                <w:tab w:val="left" w:pos="311" w:leader="none"/>
              </w:tabs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сборки, разборки механизмов оборудования средней сложности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numPr>
                <w:ilvl w:val="0"/>
                <w:numId w:val="2"/>
              </w:numPr>
              <w:ind w:left="0" w:firstLine="0"/>
              <w:spacing w:after="0" w:line="240" w:lineRule="auto"/>
              <w:tabs>
                <w:tab w:val="left" w:pos="311" w:leader="none"/>
              </w:tabs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выполнения смазочных работ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numPr>
                <w:ilvl w:val="0"/>
                <w:numId w:val="2"/>
              </w:numPr>
              <w:ind w:left="0" w:firstLine="0"/>
              <w:spacing w:after="0" w:line="240" w:lineRule="auto"/>
              <w:tabs>
                <w:tab w:val="left" w:pos="311" w:leader="none"/>
              </w:tabs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контроля взаимного расположения узлов и деталей механизмов оборудования средней сложности после сборки и монтажа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</w:tc>
      </w:tr>
      <w:tr>
        <w:tblPrEx/>
        <w:trPr>
          <w:trHeight w:val="327"/>
        </w:trPr>
        <w:tc>
          <w:tcPr>
            <w:tcW w:w="112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color w:val="ff0000"/>
              </w:rPr>
            </w:pPr>
            <w:r>
              <w:rPr>
                <w:rStyle w:val="664"/>
                <w:bCs/>
                <w:iCs/>
              </w:rPr>
              <w:t xml:space="preserve">ПК.3.2</w:t>
            </w:r>
            <w:r>
              <w:rPr>
                <w:rFonts w:ascii="Times New Roman" w:hAnsi="Times New Roman" w:cs="Times New Roman"/>
                <w:bCs/>
                <w:color w:val="ff0000"/>
              </w:rPr>
            </w:r>
          </w:p>
        </w:tc>
        <w:tc>
          <w:tcPr>
            <w:shd w:val="clear" w:color="auto" w:fill="auto"/>
            <w:tcW w:w="2833" w:type="dxa"/>
            <w:textDirection w:val="lrTb"/>
            <w:noWrap w:val="false"/>
          </w:tcPr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читать чертежи механизмов оборудования средней сложности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подготавливать рабочее место для наиболее рационального и безопасного выполнения </w:t>
            </w: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работ по ремонту механизмов оборудования средней сложности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выбирать станки, инструмент и приспособления для производства работ по ремонту механизмов оборудования средней сложности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определять межоперационные припуски и допуски на межоперационные размеры узлов и деталей механизмов оборудования средней сложности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производить разметку цилиндрических </w:t>
            </w: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поверхностей деталей механизмов оборудования средней сложности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выполнять опиливание и распиливание </w:t>
            </w: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деталей механизмов оборудования средней сложности различной конфигурации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выполнять шабрение плоских </w:t>
            </w: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поверхностей деталей механизмов оборудования средней сложности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шаржировать притирочные и доводочные круги, плиты и притиры при ремонте механизмов оборудования средней сложности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полировать плоские поверхности деталей механизмов оборудования средней сложности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контролировать </w:t>
            </w: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качество выполняемых работ при слесарной обработке деталей механизмов оборудования средней сложности с помощью контрольно-измерительных инструментов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устанавливать и закреплять детали механизмов оборудования средней сложности в зажимных приспособлениях различных видов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выбирать и подготавливать к работе режущий, слесарно-сборочный и измерительный инструмент в зависимости от обрабатываемого материала и способа обработки поверхности при ремонте механизмов оборудования средней сложности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использовать ручной механизированный инструмент и сверлильные станки для обработки отверстий в деталях механизмов оборудования средней сложности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устанавливать режим </w:t>
            </w: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обработки деталей механизмов оборудования средней сложности</w:t>
            </w: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 в соответствии с технологической документацией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контролировать качество выполняемых работ при механической обработке деталей механизмов оборудования </w:t>
            </w: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средней сложности с помощью контрольно-измерительных инструментов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</w:tc>
        <w:tc>
          <w:tcPr>
            <w:tcW w:w="3121" w:type="dxa"/>
            <w:textDirection w:val="lrTb"/>
            <w:noWrap w:val="false"/>
          </w:tcPr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требований, предъявляемые к рабочему месту для производства работ по ремонту механизмов оборудования средней сложности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видов, конструкций, </w:t>
            </w: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назначения, возможностей и правил использования оборудования, инструментов и приспособлений для производства работ по ремонту механизмов оборудования средней сложности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видов ремонтов промышленного оборудования средней сложности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основные механические свойства обрабатываемых материалов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систем допусков и посадок, квалитеты и параметры шероховатости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типичных дефектов при выполнении слесарной обработки, причины их появления и способы предупреждения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способов устранения дефектов в процессе выполнения слесарной обработки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способов распиливания криволинейных отверстий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способов опиливания деталей различной конфигурации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способов проверки припасовки деталей со сложной конфигурацией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способов шабрения плоских поверхностей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способов и последовательностей выполнения доводочных и притирочных работ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способов выполнения полировальных работ на плоских поверхностях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способов шаржирования притирочных и доводочных кругов, плит и притиров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материалов, применяемые при доводке и притирке, их свойства и правила применения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правил и последовательностей проведения измерений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методов и способов контроля размеров деталей и узлов после слесарной и механической обработки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требований к шероховатости поверхности после слесарной и механической обработки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принципов действия сверлильных станков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режимов механической обработки на сверлильных станках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ind w:firstLine="709"/>
              <w:tabs>
                <w:tab w:val="left" w:pos="271" w:leader="none"/>
              </w:tabs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изучения конструкторской и технологической документации на ремонтируемые механизмы оборудования средней сложности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tabs>
                <w:tab w:val="left" w:pos="271" w:leader="none"/>
              </w:tabs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подготовки рабочего места при ремонте механизмов оборудования средней сложности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tabs>
                <w:tab w:val="left" w:pos="271" w:leader="none"/>
              </w:tabs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выбора оборудования, инструмента и приспособлений для ремонта механизмов оборудования средней сложности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tabs>
                <w:tab w:val="left" w:pos="271" w:leader="none"/>
              </w:tabs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слесарной обработки деталей и узлов механизмов оборудования средней сложности с точностью до 7-го квалитета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tabs>
                <w:tab w:val="left" w:pos="271" w:leader="none"/>
              </w:tabs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сверления, зенкерования и развертывания отверстий в деталях механизмов оборудования средней сложности с точностью до 7-го квалитета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</w:tc>
      </w:tr>
      <w:tr>
        <w:tblPrEx/>
        <w:trPr>
          <w:trHeight w:val="327"/>
        </w:trPr>
        <w:tc>
          <w:tcPr>
            <w:tcW w:w="112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color w:val="ff0000"/>
              </w:rPr>
            </w:pPr>
            <w:r>
              <w:rPr>
                <w:rStyle w:val="664"/>
                <w:bCs/>
                <w:iCs/>
              </w:rPr>
              <w:t xml:space="preserve">ПК.3.3</w:t>
            </w:r>
            <w:r>
              <w:rPr>
                <w:rFonts w:ascii="Times New Roman" w:hAnsi="Times New Roman" w:cs="Times New Roman"/>
                <w:bCs/>
                <w:color w:val="ff0000"/>
              </w:rPr>
            </w:r>
          </w:p>
        </w:tc>
        <w:tc>
          <w:tcPr>
            <w:shd w:val="clear" w:color="auto" w:fill="auto"/>
            <w:tcW w:w="2833" w:type="dxa"/>
            <w:textDirection w:val="lrTb"/>
            <w:noWrap w:val="false"/>
          </w:tcPr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читать чертежи простого оборудования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подготавливать рабочее место для наиболее рационального и безопасного выполнения работ по регулировке простого оборудования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выбирать инструмент для производства работ по регулировке простого оборудования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выполнять регулировку простого оборудования в правильной технологической последовательности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контролировать качество выполнения работ по регулировке простого оборудования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проверять правильность срабатывания приборов управления простого оборудования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осуществлять предъявление и сдачу простого оборудования после проведения регулировочных работ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проводить испытания простого оборудования в правильной последовательности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производить оформление результатов испытания простого оборудования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использовать текстовые редакторы (процессоры) для оформления документов по результатам испытаний простого оборудования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</w:tc>
        <w:tc>
          <w:tcPr>
            <w:tcW w:w="3121" w:type="dxa"/>
            <w:textDirection w:val="lrTb"/>
            <w:noWrap w:val="false"/>
          </w:tcPr>
          <w:p>
            <w:pPr>
              <w:ind w:firstLine="709"/>
              <w:tabs>
                <w:tab w:val="left" w:pos="286" w:leader="none"/>
              </w:tabs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требований, предъявляемые к рабочему месту для производства работ по регулировке простого оборудования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tabs>
                <w:tab w:val="left" w:pos="286" w:leader="none"/>
              </w:tabs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видов, конструкций, назначения, возможностей и правил использования инструментов и приспособлений для производства работ по регулировке простого оборудования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tabs>
                <w:tab w:val="left" w:pos="286" w:leader="none"/>
              </w:tabs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устройств и принципов действия простого оборудования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tabs>
                <w:tab w:val="left" w:pos="286" w:leader="none"/>
              </w:tabs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основных технических данных и характеристик механизмов, оборудования, агрегатов и машин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tabs>
                <w:tab w:val="left" w:pos="286" w:leader="none"/>
              </w:tabs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порядка регулировки простого оборудования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tabs>
                <w:tab w:val="left" w:pos="286" w:leader="none"/>
              </w:tabs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правил и порядка сдачи и приемки отремонтированного оборудования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tabs>
                <w:tab w:val="left" w:pos="286" w:leader="none"/>
              </w:tabs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порядка оформления результатов испытаний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tabs>
                <w:tab w:val="left" w:pos="286" w:leader="none"/>
              </w:tabs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видов и правил применения средств индивидуальной и коллективной защиты при выполнении работ по регулировке простого оборудования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tabs>
                <w:tab w:val="left" w:pos="286" w:leader="none"/>
              </w:tabs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требования охраны труда, пожарной, промышленной, </w:t>
            </w: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экологической безопасности и электробезопасности при регулировке простого оборудования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изучения конструкторской и технологической документации на регулируемое простое оборудование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подготовки рабочего места при регулировке простого оборудования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выбора оборудования, инструмента и приспособлений для регулировки простого оборудования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выполнения работ по регулировке простого оборудования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использования контрольно-измерительных инструментов для контроля качества выполняемых работ по регулировке простого оборудования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сдачи простого оборудования после регулировки и испытания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испытания простого оборудования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</w:tc>
      </w:tr>
      <w:tr>
        <w:tblPrEx/>
        <w:trPr>
          <w:trHeight w:val="327"/>
        </w:trPr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color w:val="ff0000"/>
              </w:rPr>
            </w:pPr>
            <w:r>
              <w:rPr>
                <w:rStyle w:val="664"/>
                <w:bCs/>
                <w:iCs/>
              </w:rPr>
              <w:t xml:space="preserve">ПК.3.4</w:t>
            </w:r>
            <w:r>
              <w:rPr>
                <w:rFonts w:ascii="Times New Roman" w:hAnsi="Times New Roman" w:cs="Times New Roman"/>
                <w:bCs/>
                <w:color w:val="ff0000"/>
              </w:rPr>
            </w:r>
          </w:p>
        </w:tc>
        <w:tc>
          <w:tcPr>
            <w:shd w:val="clear" w:color="auto" w:fill="auto"/>
            <w:tcW w:w="2833" w:type="dxa"/>
            <w:textDirection w:val="lrTb"/>
            <w:noWrap w:val="false"/>
          </w:tcPr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читать чертежи простого оборудования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подготавливать рабочее место для наиболее рационального и безопасного выполнения работ по </w:t>
            </w: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дефектации</w:t>
            </w: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 простого оборудования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выбирать оборудование, инструменты и приспособления для производства работ по </w:t>
            </w: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дефектации</w:t>
            </w: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 простого оборудования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использовать контрольно-измерительный инструмент для оценки степени износа простого оборудования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производить визуальную оценку наличия дефектов и степени износа простого оборудования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принимать решения о ремонте или замене узлов и деталей простого оборудования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заполнять документы по результатам </w:t>
            </w: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дефектации</w:t>
            </w: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 простого </w:t>
            </w: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оборудования в соответствие с требованиями, предъявляемыми к ним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использовать текстовые редакторы (процессоры) для создания документов по результатам </w:t>
            </w: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дефектации</w:t>
            </w: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 простого оборудования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</w:tc>
        <w:tc>
          <w:tcPr>
            <w:tcW w:w="3121" w:type="dxa"/>
            <w:textDirection w:val="lrTb"/>
            <w:noWrap w:val="false"/>
          </w:tcPr>
          <w:p>
            <w:pPr>
              <w:ind w:firstLine="709"/>
              <w:tabs>
                <w:tab w:val="left" w:pos="453" w:leader="none"/>
              </w:tabs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требований, предъявляемые к рабочему месту для производства работ по </w:t>
            </w: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дефектации</w:t>
            </w: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 простого оборудования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tabs>
                <w:tab w:val="left" w:pos="453" w:leader="none"/>
              </w:tabs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видов, конструкций, назначения, возможностей и правил использования инструментов и приспособлений для производства работ по </w:t>
            </w: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дефектации</w:t>
            </w: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 простого оборудования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tabs>
                <w:tab w:val="left" w:pos="453" w:leader="none"/>
              </w:tabs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технических требований, </w:t>
            </w: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предъявляемые</w:t>
            </w: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 к простому оборудованию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tabs>
                <w:tab w:val="left" w:pos="453" w:leader="none"/>
              </w:tabs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методов </w:t>
            </w: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дефектации</w:t>
            </w: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 узлов и деталей простого оборудования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tabs>
                <w:tab w:val="left" w:pos="453" w:leader="none"/>
              </w:tabs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видов износа узлов и деталей простого оборудования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tabs>
                <w:tab w:val="left" w:pos="453" w:leader="none"/>
              </w:tabs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факторов, влияющих на интенсивность износа механизмов простого оборудования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tabs>
                <w:tab w:val="left" w:pos="453" w:leader="none"/>
              </w:tabs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допустимых норм износа механизмов простого оборудования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tabs>
                <w:tab w:val="left" w:pos="453" w:leader="none"/>
              </w:tabs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браковочных признаков механизмов </w:t>
            </w: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простого оборудования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tabs>
                <w:tab w:val="left" w:pos="453" w:leader="none"/>
              </w:tabs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типичных дефектов простого оборудования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tabs>
                <w:tab w:val="left" w:pos="453" w:leader="none"/>
              </w:tabs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видов документов, заполняемых по результатам </w:t>
            </w: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дефектации</w:t>
            </w: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 простого оборудования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порядка заполнения документов по результатам </w:t>
            </w: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дефектации</w:t>
            </w: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 простого оборудования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изучения конструкторской и технологической документации на </w:t>
            </w: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дефектуемое</w:t>
            </w: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 простое оборудование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подготовки рабочего места при </w:t>
            </w: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дефектации</w:t>
            </w: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 простого оборудования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выбора оборудования, инструментов и приспособлений для </w:t>
            </w: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дефектации</w:t>
            </w: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 простого оборудования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выявления дефектов простого оборудования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заполнения документации по результатам </w:t>
            </w: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дефектации</w:t>
            </w:r>
            <w:r>
              <w:rPr>
                <w:rFonts w:ascii="Times New Roman" w:hAnsi="Times New Roman" w:eastAsia="Calibri" w:cs="Times New Roman"/>
                <w:bCs/>
                <w:iCs/>
              </w:rPr>
              <w:t xml:space="preserve"> простого оборудования</w:t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  <w:p>
            <w:pPr>
              <w:ind w:firstLine="709"/>
              <w:rPr>
                <w:rFonts w:ascii="Times New Roman" w:hAnsi="Times New Roman" w:eastAsia="Calibri" w:cs="Times New Roman"/>
                <w:bCs/>
                <w:iCs/>
              </w:rPr>
            </w:pPr>
            <w:r>
              <w:rPr>
                <w:rFonts w:ascii="Times New Roman" w:hAnsi="Times New Roman" w:eastAsia="Calibri" w:cs="Times New Roman"/>
                <w:bCs/>
                <w:iCs/>
              </w:rPr>
            </w:r>
            <w:r>
              <w:rPr>
                <w:rFonts w:ascii="Times New Roman" w:hAnsi="Times New Roman" w:eastAsia="Calibri" w:cs="Times New Roman"/>
                <w:bCs/>
                <w:iCs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_888"/>
        <w:numPr>
          <w:ilvl w:val="0"/>
          <w:numId w:val="0"/>
        </w:numPr>
        <w:rPr>
          <w:rFonts w:ascii="Times New Roman" w:hAnsi="Times New Roman"/>
        </w:rPr>
      </w:pPr>
      <w:r>
        <w:t xml:space="preserve">1.3.</w:t>
      </w:r>
      <w:bookmarkStart w:id="0" w:name="undefined"/>
      <w:r>
        <w:rPr>
          <w:rFonts w:ascii="Times New Roman" w:hAnsi="Times New Roman"/>
        </w:rPr>
        <w:t xml:space="preserve">Обоснование часов вариативной части ОПОП-П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Style w:val="48"/>
        <w:tblW w:w="0" w:type="auto"/>
        <w:tblInd w:w="-5" w:type="dxa"/>
        <w:tblLook w:val="04A0" w:firstRow="1" w:lastRow="0" w:firstColumn="1" w:lastColumn="0" w:noHBand="0" w:noVBand="1"/>
      </w:tblPr>
      <w:tblGrid>
        <w:gridCol w:w="949"/>
        <w:gridCol w:w="2304"/>
        <w:gridCol w:w="2089"/>
        <w:gridCol w:w="1774"/>
        <w:gridCol w:w="1102"/>
        <w:gridCol w:w="1641"/>
      </w:tblGrid>
      <w:tr>
        <w:tblPrEx/>
        <w:trPr/>
        <w:tc>
          <w:tcPr>
            <w:tcW w:w="1415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416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Дополнительные профессиональные компетенции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Дополнительные знания, умения, навыки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№, наименование темы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часов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Обоснование включения в рабочую программу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415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416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31"/>
              <w:ind w:left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" w:name="_Toc152334663"/>
      <w:r/>
      <w:bookmarkStart w:id="2" w:name="_Toc162370391"/>
      <w:r/>
      <w:bookmarkEnd w:id="1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профессионального модуля</w:t>
      </w:r>
      <w:bookmarkEnd w:id="2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3" w:name="_Toc152334664"/>
      <w:r/>
      <w:bookmarkStart w:id="4" w:name="_Toc162370392"/>
      <w:r/>
      <w:bookmarkEnd w:id="3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модуля</w:t>
      </w:r>
      <w:bookmarkEnd w:id="4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9621" w:type="dxa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4518"/>
        <w:gridCol w:w="2268"/>
        <w:gridCol w:w="2835"/>
      </w:tblGrid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51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5" w:name="_Hlk152333186"/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составных частей модуля</w:t>
            </w:r>
            <w:bookmarkEnd w:id="5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518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Учебные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518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Курсовая работа (проект)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518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518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Практика, 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518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учебная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180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180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518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производственная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51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51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аттестация, в том числе: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МДК 03.01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УП.03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ПП.03 в форме дифференцированного зачета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  <w:t xml:space="preserve"> ПМ.03 в форме экзамена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518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386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344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6" w:name="_Toc150695625"/>
      <w:r/>
      <w:bookmarkStart w:id="7" w:name="_Toc162370393"/>
      <w:r/>
      <w:bookmarkEnd w:id="6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2.2. Структура профессионального модуля</w:t>
      </w:r>
      <w:bookmarkEnd w:id="7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15002" w:type="dxa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252"/>
        <w:gridCol w:w="2127"/>
        <w:gridCol w:w="1275"/>
        <w:gridCol w:w="1560"/>
        <w:gridCol w:w="1701"/>
        <w:gridCol w:w="1275"/>
        <w:gridCol w:w="1418"/>
        <w:gridCol w:w="1417"/>
        <w:gridCol w:w="1276"/>
        <w:gridCol w:w="1701"/>
      </w:tblGrid>
      <w:tr>
        <w:tblPrEx/>
        <w:trPr>
          <w:tblCellSpacing w:w="0" w:type="dxa"/>
          <w:trHeight w:val="327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8" w:name="_Toc150695626"/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Код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, ПК</w:t>
            </w:r>
            <w:bookmarkEnd w:id="8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Наименования разделов профессионального модуля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Всего, час.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left="113" w:right="113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Обучение по МДК, в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Учебные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Курсовая работа (проект)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Учебная практика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Производственная практика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2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02,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04,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06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3.1.-3.4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МДК 03.01. Технология выполнения слесарно-ремонтных работ агрегатов и машин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98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1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Учебная практика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180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180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180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1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Производственная практика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2" w:type="dxa"/>
            <w:vAlign w:val="center"/>
            <w:textDirection w:val="lrTb"/>
            <w:noWrap w:val="false"/>
          </w:tcPr>
          <w:p>
            <w:pPr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Всего: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386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344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98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180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9" w:name="_Toc162370394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2.3. Содержание профессионального модуля</w:t>
      </w:r>
      <w:bookmarkEnd w:id="9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5081" w:type="pct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760"/>
        <w:gridCol w:w="370"/>
        <w:gridCol w:w="5935"/>
        <w:gridCol w:w="2554"/>
        <w:gridCol w:w="2407"/>
      </w:tblGrid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4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разделов и тем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/>
              <w:jc w:val="center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одержание учебного материала, практ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ических и лабораторных занятий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/>
              <w:jc w:val="center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670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37"/>
        </w:trPr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49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МДК. 03.01 Технология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выполнения слесарно-ремонтных работ агрегатов и машин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707"/>
        </w:trPr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49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Подготовка рабочего места, инструментов и приспособлений для ремонтных работ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374" w:type="pct"/>
            <w:vMerge w:val="restar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1.1.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Охрана труда в профессиональной деятельности слесаря-ремонтника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668"/>
                <w:rFonts w:ascii="Times New Roman" w:hAnsi="Times New Roman" w:cs="Times New Roman"/>
                <w:sz w:val="24"/>
                <w:szCs w:val="24"/>
                <w:shd w:val="clear" w:color="auto" w:fill="f3f3ed"/>
              </w:rPr>
              <w:t xml:space="preserve">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4408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термины и определения: рабочая зона, рабочее место, условия труда, вредный производственный фактор, опасный производственный фактор,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травмобезопасность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тяжесть труда, напряжённость труда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Типовые отраслевые нормы и правила по охране труда. Корпоративные рабочие инструкции по охране труда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 по охране труда и правила техники безопасности при выполнении ремонтных работ. Ответственность за нарушение требований охраны труда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01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02,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04,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06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3.1.-3.4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15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ребования к спецодежде, индивидуальным средствам защиты слесаря-ремонтника. Правила личной и производственной гигиены: режим труда и отдыха на рабочем месте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Причины травматизма. Оказание первой помощи при различных травмах. Предупреждение причин травматизма на рабочем месте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Технологическая дисциплина: соблюдение технологического режима,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хнологических регламентов. Последствия нарушения технологической дисциплины: снижение качества продукции, брак, ухудшение использования сырья, преждевременные поломки оборудования и пр. Дисциплинарная ответственность за нарушение технологической дисциплины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801" w:type="pct"/>
            <w:vMerge w:val="continue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Практическое занятие: составление инструкции/памятки слесарю-ремонтнику «Правила личной и производственной гигиены: режим труда и отдыха на рабочем месте»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374" w:type="pct"/>
            <w:vMerge w:val="restar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рабочего места слесаря-ремонтника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4264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организации рабочего места при выполнении ремонтных работ: постоянное рабочее место в ремонтном цехе и временное рабочее место у ремонтируемого станка, освещенность рабочего места, уровень шума, уровень вибрации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69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Оснащение постоянного рабочего места</w:t>
            </w:r>
            <w:r>
              <w:rPr>
                <w:rStyle w:val="668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верстак с тисками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одноместные, двухместные и многоместные)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стеллаж для хранения деталей и оборудования,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стол для разборки,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дефектовки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сборки отдельных узлов, проверочная плита,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подъемно-транспортные, моечные, разборочные и др. приспособления,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инструментальные ящики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комплект необходимых инструментов и приспособлений постоянного пользования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01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02,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04,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06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3.1.-3.4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884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Оснащение временного рабочего места: передвижные верстаки и переносные инструментальные ящики, грузоподъемные устройства (кран-балки, консольные краны с тельферами и талями) 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Отраслевые инструкции для оптимальной организации рабочего места, персональная ответственность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слесаря-ремонтника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организацию рабочего места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801" w:type="pct"/>
            <w:vMerge w:val="continue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Практическое занятие: на формате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схематично изобразить оснащение постоянного рабочего места слесаря-ремонтника и кратко обосновать организацию рабочего места (в виде письменного сообщения)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374" w:type="pct"/>
            <w:vMerge w:val="restar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заготовок,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инструментов, приспособлений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3160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Перечень рабочего, контрольно-измерительного инструмента, приспособлений,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выполнение ремонтных работ. Устройство, правила хранения, обеспечивающие сохранность инструментов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приспособлений, оборудования для ремонтных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Выбор и подготовка рабочего инструмента, приспособлений, оборудования 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ремонтируемыми узлами и механизмами оборудования, агрегатами и машинами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02,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04,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06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3.1.-3.4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780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Эксплуатационные требования и правила применения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инструментов, приспособлений,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 в ремонтных работах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расходных материалов (для промывки и смазки)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02,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04,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06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3.1.-3.4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Практическое занятие: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таблицы «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Выбор и подготовка рабочего инструмента, приспособлений, оборудования 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ремонтируемыми узлами и механизмами оборудования, агрегатами и машинами»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188"/>
        </w:trPr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49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Ремонт узлов и механизмов оборудования, агрегатов и машин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374" w:type="pct"/>
            <w:vMerge w:val="restar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2.1.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Выполнение монтажа и демонтажа узлов, механизмов, оборудования, агрегатов и машин различной сложности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/>
              <w:jc w:val="center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3912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планировке и оснащению рабочего места при выполнении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монтажа узлов, механизмов, оборудования, агрегатов и машин различной сложности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Выбор ручного и механизированного инструмента, приспособлений для производства монтажных работ относительно собираемых/разбираемых узлов и механизмов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Последовательность операций при выполнении монтажных и демонтажных работ. Демонтаж сборочных единиц в соответствии с технической документацией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02,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04,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06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3.1.-3.4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16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такелажное оборудование, применяемое при выполнении монтажных/демонтажных работах, правила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строповки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подъема, перемещения грузов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62"/>
              <w:ind w:right="57"/>
              <w:spacing w:after="0"/>
              <w:shd w:val="clear" w:color="auto" w:fill="ffffff"/>
            </w:pPr>
            <w:r>
              <w:t xml:space="preserve">Технологические схемы сборки. Узловая сборка (сборочных единиц) и общая сборка.</w:t>
            </w:r>
            <w:r/>
          </w:p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Параллельная сборка групп и подгрупп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02,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04,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06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3.1.-3.4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7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pStyle w:val="662"/>
              <w:ind w:right="57" w:firstLine="709"/>
              <w:shd w:val="clear" w:color="auto" w:fill="ffffff"/>
            </w:pPr>
            <w:r>
              <w:rPr>
                <w:bCs/>
              </w:rPr>
              <w:t xml:space="preserve">Практическое занятие: описание н</w:t>
            </w:r>
            <w:r>
              <w:t xml:space="preserve">азначения и способов маркировки деталей при разборке механизмов, агрегатов, машин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pStyle w:val="662"/>
              <w:ind w:right="57" w:firstLine="709"/>
              <w:shd w:val="clear" w:color="auto" w:fill="ffffff"/>
              <w:rPr>
                <w:bCs/>
              </w:rPr>
            </w:pPr>
            <w:r>
              <w:rPr>
                <w:bCs/>
              </w:rPr>
              <w:t xml:space="preserve">1</w:t>
            </w:r>
            <w:r>
              <w:rPr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pStyle w:val="662"/>
              <w:ind w:right="57" w:firstLine="709"/>
              <w:shd w:val="clear" w:color="auto" w:fill="ffffff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115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pStyle w:val="662"/>
              <w:ind w:right="57" w:firstLine="709"/>
              <w:spacing w:after="0"/>
              <w:shd w:val="clear" w:color="auto" w:fill="ffffff"/>
            </w:pPr>
            <w:r>
              <w:rPr>
                <w:bCs/>
              </w:rPr>
              <w:t xml:space="preserve">Практическое занятие:</w:t>
            </w:r>
            <w:r>
              <w:t xml:space="preserve"> Сборка агрегата/оборудования из предварительно собранных сборочных единиц. Монтаж сборочных единиц в соответствии с технической документацией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pStyle w:val="662"/>
              <w:ind w:right="57" w:firstLine="709"/>
              <w:spacing w:after="0"/>
              <w:shd w:val="clear" w:color="auto" w:fill="ffffff"/>
              <w:rPr>
                <w:bCs/>
              </w:rPr>
            </w:pPr>
            <w:r>
              <w:rPr>
                <w:bCs/>
              </w:rPr>
              <w:t xml:space="preserve">1</w:t>
            </w:r>
            <w:r>
              <w:rPr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pStyle w:val="662"/>
              <w:ind w:right="57" w:firstLine="709"/>
              <w:spacing w:after="0"/>
              <w:shd w:val="clear" w:color="auto" w:fill="ffffff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115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pStyle w:val="662"/>
              <w:ind w:right="57" w:firstLine="709"/>
              <w:spacing w:after="0"/>
              <w:shd w:val="clear" w:color="auto" w:fill="ffffff"/>
            </w:pPr>
            <w:r>
              <w:rPr>
                <w:bCs/>
              </w:rPr>
              <w:t xml:space="preserve">Практическое занятие:</w:t>
            </w:r>
            <w:r>
              <w:t xml:space="preserve"> Выполнение сборки и </w:t>
            </w:r>
            <w:r>
              <w:t xml:space="preserve">разборки механизмов,</w:t>
            </w:r>
            <w:r>
              <w:rPr>
                <w:bCs/>
              </w:rPr>
              <w:t xml:space="preserve"> оборудования, агрегатов</w:t>
            </w:r>
            <w:r>
              <w:t xml:space="preserve"> в соответствии с требованиями охраны труда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pStyle w:val="662"/>
              <w:ind w:right="57" w:firstLine="709"/>
              <w:spacing w:after="0"/>
              <w:shd w:val="clear" w:color="auto" w:fill="ffffff"/>
              <w:rPr>
                <w:bCs/>
              </w:rPr>
            </w:pPr>
            <w:r>
              <w:rPr>
                <w:bCs/>
              </w:rPr>
              <w:t xml:space="preserve">1</w:t>
            </w:r>
            <w:r>
              <w:rPr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pStyle w:val="662"/>
              <w:ind w:right="57" w:firstLine="709"/>
              <w:spacing w:after="0"/>
              <w:shd w:val="clear" w:color="auto" w:fill="ffffff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115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pStyle w:val="662"/>
              <w:ind w:right="57" w:firstLine="709"/>
              <w:spacing w:after="0"/>
              <w:shd w:val="clear" w:color="auto" w:fill="ffffff"/>
            </w:pPr>
            <w:r>
              <w:rPr>
                <w:bCs/>
              </w:rPr>
              <w:t xml:space="preserve">Практическое занятие: </w:t>
            </w:r>
            <w:r>
              <w:t xml:space="preserve">контролировать качество выполняемых монтажных работ, предупреждение, выявление и исправление возможных дефектов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pStyle w:val="662"/>
              <w:ind w:right="57" w:firstLine="709"/>
              <w:spacing w:after="0"/>
              <w:shd w:val="clear" w:color="auto" w:fill="ffffff"/>
              <w:rPr>
                <w:bCs/>
              </w:rPr>
            </w:pPr>
            <w:r>
              <w:rPr>
                <w:bCs/>
              </w:rPr>
              <w:t xml:space="preserve">1</w:t>
            </w:r>
            <w:r>
              <w:rPr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pStyle w:val="662"/>
              <w:ind w:right="57" w:firstLine="709"/>
              <w:spacing w:after="0"/>
              <w:shd w:val="clear" w:color="auto" w:fill="ffffff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374" w:type="pct"/>
            <w:vMerge w:val="restar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2.2.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Выполнение слесарной обработки деталей различной сложности при ремонтных работах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3360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слесарной обработки деталей различной сложности при ремонтных работах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Способы и последовательность проведения размерной обработки деталей при ремонте: рубка, правка, гибка, резка, опиливание, сверление, зенкерование,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зенкование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развертывание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Способы и последовательность проведения пригоночных операций слесарной обработки при ремонте: шабрение, распиливание, пригонка и припасовка, притирка, доводка, полирование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02,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04,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06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3.1.-3.4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Назначение, устройство универсальных приспособлений и правила применения слесарного и контрольно-измерительных инструментов. Выбор инструментов в зависимости от механических свойства обрабатываемых материалов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pct"/>
            <w:vMerge w:val="restar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01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02,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04,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06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3.1.-3.4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качества выполняемых работ при слесарной обработке деталей различной сложности с помощью контрольно-измерительных инструментов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850" w:type="pct"/>
            <w:vMerge w:val="continue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801" w:type="pct"/>
            <w:vMerge w:val="continue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Типичные дефекты при выполнении слесарной обработки, причины их появления и способы предупреждения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vMerge w:val="continue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vMerge w:val="continue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занятие: Техническая документация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выполнение слесарной обработки при ремонтных работах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94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занятие: Чертежи деталей и сопряжений, правила чтения чертежей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92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занятие: Способы и последовательность проведения размерной обработки деталей при ремонте: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92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занятие: Способы и последовательность проведения пригоночных операций слесарной обработки при ремонте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92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работа: «Выполнение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контроля качества слесарной обработки деталей различной сложности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контрольно-измерительных инструментов»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92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занятие: Оформление результатов лабораторной работы, подготовка к ответам на контрольные вопросы, содержащиеся в лабораторной работе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374" w:type="pct"/>
            <w:vMerge w:val="restart"/>
            <w:textDirection w:val="lrTb"/>
            <w:noWrap w:val="false"/>
          </w:tcPr>
          <w:p>
            <w:pPr>
              <w:ind w:right="57" w:firstLine="58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2.3.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ind w:right="57" w:firstLine="58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Выполнение механической обработки деталей различной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сложности при ремонтных работах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ind w:right="57" w:firstLine="58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ind w:right="57" w:firstLine="58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3160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механической обработки деталей различной сложности при ремонтных работах.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Техническая документация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выполнение механической обработки при ремонтных работах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Назначение, правила и условия применения наиболее распространенных зажимных приспособлений, измерительного и режущего инструментов для ведения механической обработки деталей на обдирочных, настольно-сверлильных и заточных станках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02,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04,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06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3.1.-3.4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504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допусков и посадок, квалитеты и параметры шероховатости по квалитетам.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Принципы действия обдирочных, настольно-сверлильных и заточных станков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02,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04,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06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3.1.-3.4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занятие: Выбор и подготовка к работе режущего инструмента в зависимости от обрабатываемого материала.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3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занятие: Правила измерения деталей и узлов универсальными и специализированными измерительными инструментами в соответствии с технической документацией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занятие: Проверка на соответствие сложных деталей, узлов и вспомогательных материалов требованиям технической документации (технологические карты)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занятие: Знаки условного обозначения допусков, квалитетов, параметров шероховатости, способов базирования заготовок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занятие: Технологический процесс механической обработки на обдирочных, настольно-сверлильных и заточных станках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занятие: Контроль качества выполняемых работ при механической обработке деталей.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занятие: Основные виды и причины брака при механической обработке, способы предупреждения и устранения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Лабораторная работа: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принципа действия обдирочных, настольно-сверлильных и заточных станков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57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занятие: Оформление результатов лабораторной работы, подготовка к ответам на контрольные вопросы, содержащиеся в лабораторной работе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374" w:type="pct"/>
            <w:vMerge w:val="restar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2.4.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Ремонт типовых деталей и механизмов промышленного оборудования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3912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виды ремонта производственного оборудования: классификация, особенности, эксплуатационные характеристики.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Технологическая документация на ремонт деталей и сборочных единиц: конструкторские документы, документация на текущий и капитальный ремонт, комплект документов для ремонта, схема типового технологического процесса, расходные ведомости на ремонт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Регламент проведения планово-предупредительных ремонтов эксплуатируемого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02,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04,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06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3.1.-3.4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768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Износ деталей: нормальный и аварийный. Категории износа: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физический (механический, молекулярно-механический и коррозионно-механический), тепловой. Основные причины износа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долговечности и надежности работы машин и механизмов. Мероприятия по предупреждению износа машин и обеспечению их долговечности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Способы ремонта сопряжений. Процесс изнашивания сопрягаемых деталей. Нарушение первоначальных посадок и приемы восстановления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компенсаторов износа. Детали-компенсаторы. Шкала ремонтных размеров. Типовые случаи применения деталей-компенсаторов. Дефекты, возникающие в деталях в результате действия внутренних напряжений, больших усилий или из-за механических повреждений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02,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04,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06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3.1.-3.4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pStyle w:val="662"/>
              <w:ind w:right="57"/>
              <w:spacing w:after="0"/>
              <w:shd w:val="clear" w:color="auto" w:fill="ffffff"/>
              <w:rPr>
                <w:b/>
              </w:rPr>
            </w:pPr>
            <w:r>
              <w:rPr>
                <w:b/>
              </w:rPr>
              <w:t xml:space="preserve">В том числе практических и лабораторных занятий</w:t>
            </w:r>
            <w:r>
              <w:rPr>
                <w:b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pStyle w:val="662"/>
              <w:ind w:right="57" w:firstLine="709"/>
              <w:spacing w:after="0"/>
              <w:shd w:val="clear" w:color="auto" w:fill="ffffff"/>
              <w:rPr>
                <w:b/>
              </w:rPr>
            </w:pPr>
            <w:r>
              <w:rPr>
                <w:b/>
              </w:rPr>
              <w:t xml:space="preserve">12</w:t>
            </w:r>
            <w:r>
              <w:rPr>
                <w:b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pStyle w:val="662"/>
              <w:ind w:right="57" w:firstLine="709"/>
              <w:spacing w:after="0"/>
              <w:shd w:val="clear" w:color="auto" w:fill="ffffff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занятие: Основные причины потери работоспособности оборудования. Сущность системы планово-предупредительного ремонта. Виды ремонтных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занятие: Карты технологического процесса ремонта различных типовых деталей и узлов промышленного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8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занятие: Методы определения износа деталей машин, агрегатов и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6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занятие: Исследования износостойкости деталей: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микрометрирование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взвешивание, снятие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профилограмм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метод искусственных баз, радиоизотопные методы, спектральный 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6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занятие: Технология ремонта деталей и соединений машин и оборудования. Основные способы восстановления изношенных деталей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6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занятие: Восстановление посадок сопряженных деталей, устранение овальности или конусности, обеспечение требуемой чистоты обработки после восстановления детали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6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восстановления деталей с плоскими сопрягаемыми поверхностями (направляющие станин, планки, клинья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6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занятие: Ремонт валов, осей, винтов, восстановление центровых отверстий. Выбор способа базирования детали для обработки. Изменение основной установочной базы изношенной детали, вспомогательные базы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6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занятие: Технология ремонта валов, подшипников, шкивов, ременных, зубчатых и цепных передач, соединительных муфт, механизмов преобразования движения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6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занятие: Определение износа деталей (визуально) и с помощью инструмента Определение степени износа типовых деталей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отклонению геометрических размеров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заданных на чертежах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6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занятие: Составление дефектной ведомости, используя перечень возможных дефектов деталей и неразъемных соединений; признаки неисправимых дефектов (задания по вариантам)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6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занятие: Составление технологической последовательности восстановления деталей (деталь по выбору)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374" w:type="pct"/>
            <w:vMerge w:val="restar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2.5.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Испытания оборудования по окончанию ремонтных работ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3084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Общие требования к подготовке, сдаче и приемке оборудования после ремонта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Способы испытания узлов и механизмов после сборки и ремонта. Испытания на холостом ходу (для машин, механизмов и аппаратов с приводом). Испытания оборудования в производственных условиях под нагрузкой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испытания оборудования на статистическую и динамическую балансировку машин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02,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04,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06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3.1.-3.4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084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Последовательность приемки оборудования: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внешний осмотр,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качества сборки и комплектности оборудования, испытание на плотность и прочность,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органов и систем управления, соответствия оборудования требованиям охраны труда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мелких дефектов, обнаруженных в процессе приемки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документации и отметок о проведенном ремонте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02,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04,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06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3.1.-3.4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Лабораторная работа: «И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спытание оборудования на статистическую и динамическую балансировку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Практическое занятие: Оформление результатов лабораторной работы, подготовка к ответам на контрольные вопросы, содержащиеся в лабораторной работе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Практическое занятие: заполнение акта приемки оборудования после капитального ремонта в соответствии с регламентом предприятия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374" w:type="pct"/>
            <w:vMerge w:val="restar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2.6.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Технология ремонта основных металлорежущих станков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608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ремонта токарно-винторезного станка: ремонт направляющих станины, направляющих суппорта, установка ходового вала и винта, ремонт корпуса передней задней и бабки, бабки, сборка узлов передней бабки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ремонта фрезерного станка: ремонт направляющих станины, консоли, стола, каретки, клиньев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02,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04,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06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3.1.-3.4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636"/>
        </w:trPr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ремонта сверлильного станка: ремонт колонны стола, фундаментной плиты, траверсы корпуса шпиндельной бабки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ремонта шлифовального станка: ремонт направляющих станины, передней и задней бабки, шлифовальной бабки, стола, гидроцилиндра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ремонта узлов и деталей гидравлических систем: дефекты гидроприводов и способы их устранения, ремонт пластинчатых насосов, ремонт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гидродвигателей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ремонт гидроцилиндра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02,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04,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06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3.1.-3.4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Практическая работа: Составление технологической карты на ремонт узла металлорежущего станка (по вариантам)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1374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5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Практическая работа: заполнение рабочего листа «Последовательность ремонта направляющих, имеющих износ 200-300 мм»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49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Техническое обслуживание узлов и механизмов отремонтированного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оборудования, агрегатов и машин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251" w:type="pct"/>
            <w:vMerge w:val="restar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3.1.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Выполнение профилактического обслуживания простых механизмов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808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1251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098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планировке и оснащению рабочего места при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профилактическом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обслуживания простых механизмов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методы диагностики технического состояния простых механизмов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и работа регулируемого механизма. Основные технические данные и характеристики регулируемого механизма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02,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04,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06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3.1.-3.4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560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1251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098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Способы регулировки в зависимости от технических данных и характеристик регулируемого механизма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Способы выполнения смазки, пополнения и замены смазки: выбор смазочного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Способы выполнения промывки деталей простых механизмов: выбор промывочной жидкости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Способы выполнение подтяжки крепежа деталей простых механизмов: выбор инструментов и приспособлений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02,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04,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06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3.1.-3.4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1251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1251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занятие: Универсальные приспособления, рабочий и контрольно-измерительный инструмент, применяемый при профилактическом обслуживании простых механизмов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1251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занятие: Технологическая последовательность выполнения операций при регулировке простых механизмов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94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1251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занятие: Выполнение замены деталей простых механизмов при невозможности восстановления/ремонта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92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1251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занятие: Методы и способы контроля качества выполненной работы, выявление и исправление возможных дефектов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92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1251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работа: «Изучение методов диагностики технического состояния простых механизмов и технологической последовательности выполнения операций при регулировке простых механизмов (по выбору/по вариантам)»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92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1251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занятие: Оформление результатов лабораторной работы, подготовка к ответам на контрольные вопросы, содержащиеся в лабораторной работе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92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1251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занятие: заполнение таблицы «Способы регулировки простых механизмов (по выбору/по вариантам): технические данные, характеристики, способ регулировки»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251" w:type="pct"/>
            <w:vMerge w:val="restar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3.2.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технического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обслуживания механизмов, оборудования, агрегатов и машин средней сложности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4940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1251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098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планировке и оснащению рабочего места при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техническом обслуживании механизмов, оборудования, агрегатов и машин средней сложности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Техническая документация общего и специализированного назначения при 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ыполнении технического обслуживания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Универсальные приспособления, рабочий, контрольно-измерительный инструмент и приспособления для 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ыполнения технического обслуживания механизмов, оборудования, агрегатов и машин средней сложности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Устройство и принципы действия обслуживаемых механизмов, оборудования, агрегатов и машин. Основные технические данные и характеристики механизмов, оборудования, агрегатов и машин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02,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04,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06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3.1.-3.4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940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1251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098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Визуальный контроль изношенности механизмов. Отключение и обесточивание механизмов, оборудования, агрегатов и машин средней сложности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Технологическая последовательность выполнения операций при диагностике и контроле технического состояния механизмов, оборудования, агрегатов и машин средней сложности. Методы проведения диагностики рабочих характеристик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Технологическая последовательность операций и способы выполнения смазочных, крепежных и регулировочных работ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и способы контроля качества выполненной работы, выявление и исправление возможных дефектов при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техническом обслуживании механизмов, оборудования, агрегатов и машин средней сложности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02,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04,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06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3.1.-3.4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1251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1251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занятие: Техническая документация общего и специализированного назначения при 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ыполнении технического обслуживания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94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1251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занятие:  осуществлять профилактическое обслуживание простых механизмов с соблюдением требований охраны труда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92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1251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pct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занятие: выполнять визуальный контроль изношенности механизмов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92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1251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pct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занятие:  выполнять  в технологической последовательности операции при диагностике и контроле технического состояния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механизмов, оборудования, агрегатов и машин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92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1251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работа: «Изучение методов диагностики технического состояния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механизмов, оборудования, агрегатов и машин средней сложности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выбору/по вариантам)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92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1251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занятие: Оформление результатов лабораторной работы, подготовка к ответам на контрольные вопросы, содержащиеся в лабораторной работе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251" w:type="pct"/>
            <w:vMerge w:val="restar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3.3.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Выполнение технического обслуживания сложных деталей, узлов и механизмов, оборудования, агрегатов и машин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4664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1251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098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планировке и оснащению рабочего места при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техническом обслуживании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сложных деталей, узлов и механизмов, оборудования, агрегатов и машин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эксплуатации и способы диагностики технического состояния сложных деталей, узлов и механизмов, оборудования, агрегатов и машин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Универсальные приспособления, рабочий, контрольно-измерительный инструмент и приспособления для 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ыполнения технического обслуживания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сложных деталей, узлов и механизмов, оборудования, агрегатов и машин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Правила и порядок выполнения подгоночных и регулировочных операций для сложных деталей, узлов и механизмов, оборудования, агрегатов и машин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02,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04,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06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3.1.-3.4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142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1251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098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Правила и порядок разборки, сборки и замены сложных деталей, узлов и механизмов, оборудования, агрегатов и машин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и порядок подъема и установки сложных деталей, узлов и механизмов, оборудования, агрегатов и машин на различной высоте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Визуальный контроль качества установки в различных положениях и на различной высоте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Методы и способы контроля качества выполненной работы, выявление и исправление возможных дефектов при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техническом обслуживании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сложных деталей, узлов и механизмов, оборудования, агрегатов и машин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02,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04,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06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3.1.-3.4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1251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312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1251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098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занятие: проводить диагностику рабочих характеристик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занятие: выполнять, крепежные и регулировочные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занятие: проводить диагностику технического состояния сложных деталей, узлов и механизмов, оборудования, агрегатов и машин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занятие: выполнять подгоночные и регулировочные операции для сложных деталей, узлов и механизмов, оборудования, агрегатов и машин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занятие: разбирать, собирать и заменять сложные детали, узлы и механизмы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636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1251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098" w:type="pct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занятие: устанавливать сложные детали, узлы и механизмы, оборудование, агрегаты и машины на различной высоте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работа: «Изучение методов диагностики технического состояния сложных деталей, узлов и механизмов, оборудования, агрегатов и машин (по выбору/по вариантам)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занятие: оформление результатов лабораторной работы, подготовка к ответам на контрольные вопросы, содержащиеся в лабораторной работе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pct"/>
            <w:vMerge w:val="restar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3.4.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Выполнение технического обслуживания металлорежущих станков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576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098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Оснащение временного рабочего места необходимым инструментом, оборудованием, приспособлениями в зависимости от станка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  <w:t xml:space="preserve">Система мероприятий по поддержанию станков в работоспособном состоянии: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продление срока службы агрегатов станков, предотвращение серьезных поломок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Общий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 работ по техническому обслуживанию металлорежущих станков: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наружный визуальный осмотр, частичная разборка станка или вскрытие отдельных узлов, замена смазки, проверка технологической и геометрической точности   станка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 наружного визуально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осмотра: оценка износа направляющих станин кареток, траверс; проверка правильности переключения рукояток; подтяжка ослабленных креплений; проверка натяжки цепей, ремней, лент; проверка подшипников на нагрев; оценка величины вибрации и шума станка и т.д.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02,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04,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06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3.1.-3.4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79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098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Частичная разборка станка: открытие крышек узлов и механизмов для проверки вращающихся сопряжений; тестирование тормозных систем и фрикционов; корректировка натяжения пружинных механизмов; регулирование зазоров в винтовых парах и т.д.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Замена смазки: слив отработки; очистка и промывка масляных картеров, емкостей от примесей, осадка и грязи; промывка системы щелочным раствором; промывка системы маслом, заправка системы свежим маслом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технологической и геомет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рической точности: проверка геометрической точности перемещения рабочих органов относительно баз (направляющие, станина); проверка соответствия геометрических размеров и технологических параметров получаемых деталей и оценка возможности получения продукции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Методы и способы контроля качества выполненной работы, выявление и исправление возможных дефектов при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техническом обслуживании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металлорежущих станков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02,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04,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06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3.1.-3.4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08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098" w:type="pct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занятие: оснащать временное рабочее место необходимым инструментом, оборудованием, приспособлениями в зависимости от станка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занятие: проводить мероприятия по поддержанию станков в работоспособном состоянии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занятие: проводить наружный визуальный осмотр, частичную разборку, замену смазки, проверку технологической и геометрической точности, регулировку металлорежущих станков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08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pct"/>
            <w:vAlign w:val="center"/>
            <w:vMerge w:val="continue"/>
            <w:textDirection w:val="lrTb"/>
            <w:noWrap w:val="false"/>
          </w:tcPr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098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занятие: контролировать качество выполненной работы, выявлять и исправлять дефекты при техническом обслуживании металлорежущих станков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занятие: выполнять визуальный контроль качества установки в различных положениях и на различной высоте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занятие: описание общего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состава работ по техническому обслуживанию металлорежущих станков: операции, материалы, контроль качества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 w:firstLine="70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85"/>
        </w:trPr>
        <w:tc>
          <w:tcPr>
            <w:gridSpan w:val="3"/>
            <w:tcBorders>
              <w:right w:val="single" w:color="auto" w:sz="4" w:space="0"/>
            </w:tcBorders>
            <w:tcW w:w="3349" w:type="pct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Учебная практика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Виды работ: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Подготовка универсальных приспособлений рабочего и контрольно-измерительного инструмента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Регулировка простых механизмов (рычаги, блоки, клинья, винты, зубчатые колеса и др.)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Смазка простых механизмов, пополнения и замена смазки, выбор смазочного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Промывка деталей простых механизмов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Подтяжка крепежа деталей простых механизмов, выбор инструментов и приспособлений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Замена деталей простых механизмов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Визуальный контроль изношенности механизмов,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оборудования, агрегатов и машин средней сложности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Диагностика рабочих характеристик механизмов,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оборудования, агрегатов и машин средней сложности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Выбор стропов в зависимости 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веса, размера, конфигурации и места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строповки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груза.  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ыполнение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застроповки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груза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Частичная разборка станка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Замена смазки: слив отработки; очистка и промывка масляных картеров, емкостей от примесей, осадка и грязи; промывка системы щелочным раствором; промывка системы маслом, заправка системы свежим маслом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180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85"/>
        </w:trPr>
        <w:tc>
          <w:tcPr>
            <w:gridSpan w:val="3"/>
            <w:tcBorders>
              <w:right w:val="single" w:color="auto" w:sz="4" w:space="0"/>
            </w:tcBorders>
            <w:tcW w:w="3349" w:type="pct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Производственная практика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Виды работ: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Слесарная обработка деталей различной сложности при ремонтных работах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Механическая обработка деталей различной сложности при ремонтных работах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Ремонт основных металлорежущих станков: токарно-винторезного, фрезерного, сверлильного, шлифовального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Испытание оборудования по окончанию ремонтных работ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Диагностика технического состояния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механизмов, оборудования, агрегатов и машин средней сложности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Диагностика технического состояния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механизмов, оборудования, агрегатов и машин средней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сложности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Техническое обслуживание металлорежущих станков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(токарно-винторезного, фрезерного, сверлильного, шлифовального)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наружный визуальный осмотр, частичная разборка станка или вскрытие отдельных узлов, замена смазки, проверка технологической и геометрической точности станка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85"/>
        </w:trPr>
        <w:tc>
          <w:tcPr>
            <w:gridSpan w:val="3"/>
            <w:tcBorders>
              <w:right w:val="single" w:color="auto" w:sz="4" w:space="0"/>
            </w:tcBorders>
            <w:tcW w:w="3349" w:type="pc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85"/>
        </w:trPr>
        <w:tc>
          <w:tcPr>
            <w:gridSpan w:val="3"/>
            <w:tcBorders>
              <w:right w:val="single" w:color="auto" w:sz="4" w:space="0"/>
            </w:tcBorders>
            <w:tcW w:w="3349" w:type="pc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в форме зачета и экзамена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85"/>
        </w:trPr>
        <w:tc>
          <w:tcPr>
            <w:gridSpan w:val="3"/>
            <w:tcBorders>
              <w:right w:val="single" w:color="auto" w:sz="4" w:space="0"/>
            </w:tcBorders>
            <w:tcW w:w="3349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Всего: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right w:val="single" w:color="auto" w:sz="4" w:space="0"/>
            </w:tcBorders>
            <w:tcW w:w="850" w:type="pct"/>
            <w:textDirection w:val="lrTb"/>
            <w:noWrap w:val="false"/>
          </w:tcPr>
          <w:p>
            <w:pPr>
              <w:ind w:right="57"/>
              <w:jc w:val="center"/>
              <w:spacing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386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right w:val="single" w:color="auto" w:sz="4" w:space="0"/>
            </w:tcBorders>
            <w:tcW w:w="801" w:type="pct"/>
            <w:textDirection w:val="lrTb"/>
            <w:noWrap w:val="false"/>
          </w:tcPr>
          <w:p>
            <w:pPr>
              <w:ind w:right="57"/>
              <w:spacing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6838" w:h="11906" w:orient="landscape"/>
          <w:pgMar w:top="850" w:right="1134" w:bottom="1701" w:left="1134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0" w:name="_Toc152334671"/>
      <w:r/>
      <w:bookmarkStart w:id="11" w:name="_Toc162370397"/>
      <w:r/>
      <w:bookmarkEnd w:id="10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 Условия реализации профессионального модуля</w:t>
      </w:r>
      <w:bookmarkEnd w:id="11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2" w:name="_Toc152334672"/>
      <w:r/>
      <w:bookmarkStart w:id="13" w:name="_Toc162370398"/>
      <w:r/>
      <w:bookmarkEnd w:id="12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3.1. Материально-техническое обеспечение</w:t>
      </w:r>
      <w:bookmarkEnd w:id="13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Кабинет Общепрофессиональных дисциплин и МДК, оснащенны</w:t>
      </w:r>
      <w:r>
        <w:rPr>
          <w:rFonts w:ascii="Times New Roman" w:hAnsi="Times New Roman" w:cs="Times New Roman"/>
          <w:bCs/>
          <w:sz w:val="24"/>
          <w:szCs w:val="24"/>
        </w:rPr>
        <w:t xml:space="preserve">й(</w:t>
      </w:r>
      <w:r>
        <w:rPr>
          <w:rFonts w:ascii="Times New Roman" w:hAnsi="Times New Roman" w:cs="Times New Roman"/>
          <w:bCs/>
          <w:sz w:val="24"/>
          <w:szCs w:val="24"/>
        </w:rPr>
        <w:t xml:space="preserve">е) в соответствии с приложением 3 ПОП-П. 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Лаборатории: «Материаловедение», «Информационных технологий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</w:t>
      </w:r>
      <w:r>
        <w:rPr>
          <w:rFonts w:ascii="Times New Roman" w:hAnsi="Times New Roman" w:cs="Times New Roman"/>
          <w:bCs/>
          <w:sz w:val="24"/>
          <w:szCs w:val="24"/>
        </w:rPr>
        <w:t xml:space="preserve">ые</w:t>
      </w:r>
      <w:r>
        <w:rPr>
          <w:rFonts w:ascii="Times New Roman" w:hAnsi="Times New Roman" w:cs="Times New Roman"/>
          <w:bCs/>
          <w:sz w:val="24"/>
          <w:szCs w:val="24"/>
        </w:rPr>
        <w:t xml:space="preserve"> в соответствии с приложением 3 ПОП-П.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Мастерская «Слесарные и слесарно-сборочные работы, оснащенн</w:t>
      </w:r>
      <w:r>
        <w:rPr>
          <w:rFonts w:ascii="Times New Roman" w:hAnsi="Times New Roman" w:cs="Times New Roman"/>
          <w:bCs/>
          <w:sz w:val="24"/>
          <w:szCs w:val="24"/>
        </w:rPr>
        <w:t xml:space="preserve">ые</w:t>
      </w:r>
      <w:r>
        <w:rPr>
          <w:rFonts w:ascii="Times New Roman" w:hAnsi="Times New Roman" w:cs="Times New Roman"/>
          <w:bCs/>
          <w:sz w:val="24"/>
          <w:szCs w:val="24"/>
        </w:rPr>
        <w:t xml:space="preserve"> в соответствии с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приложением 3 ПОП-П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.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</w:r>
    </w:p>
    <w:p>
      <w:pPr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</w:r>
      <w:r>
        <w:rPr>
          <w:rFonts w:ascii="Times New Roman" w:hAnsi="Times New Roman" w:cs="Times New Roman"/>
          <w:bCs/>
          <w:i/>
          <w:iCs/>
          <w:sz w:val="24"/>
          <w:szCs w:val="24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4" w:name="_Toc152334673"/>
      <w:r/>
      <w:bookmarkStart w:id="15" w:name="_Toc162370399"/>
      <w:r/>
      <w:bookmarkEnd w:id="14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 Учебно-методическое обеспечение</w:t>
      </w:r>
      <w:bookmarkEnd w:id="15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3.2.1. Основные печатные издания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1.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Липатова А. Б. Сборка, регулировка и испытание сборочных единиц, узлов и механизмов машин, оборудования, агрегатов механической, гидравлической, пневматическо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й частей изделий машиностроения: учебное издание / Липатова А. Б., Соколова Е.Н., Щукин А. М. - Москва: Академия, 2021. - 320 c. (Профессии среднего профессионального образования). - URL: https://academia-moscow.ru - Режим доступа: Электронная библиотека «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Academiamoscow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». - Текст: электронный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2.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Липатова А. Б. Техническое обслуживание и ремонт узлов и механизмов оборудования, агрегатов и машин: учебное издание / Липатова А. Б., Соколова Е.Н.,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Щетинкина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Н. А., Щукин А. М. - Москва: Академия, 2019. - 336 c. (Профессии среднего профессионального образования). - URL: https://academia-moscow.ru - Режим доступа: Электронная библиотека «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Academia-moscow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». - Текст: электронный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3.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Мирошин Д.Г.  Слесарное дело. Практикум: учебное пособие для среднего профессионального образования / Д. Г. Мирошин. — Москва: Издательство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, 2024. — 247 с. — (Профессиональное образование). — ISBN 978-5-534-11960-2. — Текст: электронный // Образовательная платформа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[сайт]. — URL: https://urait.ru/bcode/542418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4.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Секирников, В. Е. Слесарная обработка деталей, изготовление, сборка и ремонт приспособлений, режущего и измерительного инструмента: учебное издание /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Секирников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В. Е. - Москва: Академия, 2021. - 272 c. (Профессии среднего профессионального образования). - URL: https://academia-moscow.ru - Режим доступа: Электронная библиотека «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Academ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iamoscow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». - Текст: электронный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contextualSpacing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3.2.2. Дополнительные источники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1.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Карандашов, К. К. Обработка металлов резанием: учебное пособие для СПО / К. К.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Карандашов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, В. Д.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Клопотов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. — Саратов: Профобразование, 2021. — 266 c. — ISBN 978-5-4488-0933-0. — Текст: электронный // Электронный ресурс цифровой образовательной среды СПО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PROFобразо-вание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[сайт]. — URL: </w:t>
      </w:r>
      <w:hyperlink r:id="rId9" w:tooltip="https://profspo.ru/books/99934" w:history="1">
        <w:r>
          <w:rPr>
            <w:rFonts w:ascii="Times New Roman" w:hAnsi="Times New Roman" w:eastAsia="Times New Roman" w:cs="Times New Roman"/>
            <w:bCs/>
            <w:color w:val="0000ff"/>
            <w:sz w:val="24"/>
            <w:szCs w:val="24"/>
            <w:u w:val="single"/>
            <w:lang w:eastAsia="ru-RU"/>
          </w:rPr>
          <w:t xml:space="preserve">https://profspo.ru/books/99934</w:t>
        </w:r>
      </w:hyperlink>
      <w:r/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2.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Маслов, А. Р. Технологическая оснастка для высокоэффективного резания: учебное пособие для СПО / А. Р. Маслов. — Саратов, Москва: Профобразование, Ай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Пи Ар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Медиа, 2021. — 131 c. — ISBN 978-5-4488-0987-3, 978-5-4497-0848-9. — Текст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электронный // Электронный ресурс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циф-ровой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образовательной среды СПО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PROFобразование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: [сайт]. — URL: </w:t>
      </w:r>
      <w:hyperlink r:id="rId10" w:tooltip="https://profspo.ru/books/102246" w:history="1">
        <w:r>
          <w:rPr>
            <w:rFonts w:ascii="Times New Roman" w:hAnsi="Times New Roman" w:eastAsia="Times New Roman" w:cs="Times New Roman"/>
            <w:bCs/>
            <w:color w:val="0000ff"/>
            <w:sz w:val="24"/>
            <w:szCs w:val="24"/>
            <w:u w:val="single"/>
            <w:lang w:eastAsia="ru-RU"/>
          </w:rPr>
          <w:t xml:space="preserve">https://profspo.ru/books/102246</w:t>
        </w:r>
      </w:hyperlink>
      <w:r/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3.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Библиотека машиностроителя [Электронный ресурс] URL:http://lib-bkm.ru (дата обращения 10.05.2021)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4.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«Слесарные работы» [Электронный ресурс]. URL:http://metalhandling.ru (дата обращения 10.05.2021)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 КОНТРОЛЬ И ОЦЕНКА РЕЗУЛЬТАТОВ ОСВОЕНИЯ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 xml:space="preserve">ПРОФЕССИОНАЛЬНОГО МОДУЛЯ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tbl>
      <w:tblPr>
        <w:tblW w:w="9853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523"/>
        <w:gridCol w:w="5144"/>
        <w:gridCol w:w="2186"/>
      </w:tblGrid>
      <w:tr>
        <w:tblPrEx/>
        <w:trPr>
          <w:trHeight w:val="100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од ПК 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44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672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Критерии оценки результата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 (показатели освоенности компетенций)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8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Формы контроля и методы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9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3" w:type="dxa"/>
            <w:textDirection w:val="lrTb"/>
            <w:noWrap w:val="false"/>
          </w:tcPr>
          <w:p>
            <w:pPr>
              <w:tabs>
                <w:tab w:val="num" w:pos="72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ПК.3.1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одготавливать рабочее место, инструменты и приспособления для ремонтных работ в соответствии с производственным заданием с соблюдением требований охраны труда, пожарной, промышленной и экологической безопасности, правил организации рабочего места.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4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рабочее место в соответствии с требованиями охраны труда, пожарной, промышленной и экологической безопасности, в соответствии с выполняемыми   ремонтными работами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Выбирает и подготавливает рабочий инструмент, приспособления, оборудование в соответствии с ремонтируемыми узлами и механизмами оборудования, агрегатами и машинами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Предупреждает причины травматизма и оказывает доврачебную помощь при возможных травмах на рабочем месте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18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Экспертное наблюдение выполнения практических работ на учебной и производственной практиках: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bookmarkStart w:id="16" w:name="_GoBack"/>
            <w:r/>
            <w:bookmarkEnd w:id="16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ценка процесса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результатов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3" w:type="dxa"/>
            <w:textDirection w:val="lrTb"/>
            <w:noWrap w:val="false"/>
          </w:tcPr>
          <w:p>
            <w:pPr>
              <w:tabs>
                <w:tab w:val="num" w:pos="72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ПК.3.2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ыполнять ремонт отдельных деталей и узлов, входящих в состав оборудования, агрегатов и машин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44" w:type="dxa"/>
            <w:textDirection w:val="lrTb"/>
            <w:noWrap w:val="false"/>
          </w:tcPr>
          <w:p>
            <w:pPr>
              <w:tabs>
                <w:tab w:val="num" w:pos="72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монтаж и демонтаж узлов, механизмов, оборудования, агрегатов и машин различной сложности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num" w:pos="72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слесарную обработки простых деталей, деталей средней сложности и сложных деталей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num" w:pos="72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механическую обработку деталей средней сложности и сложных деталей и узлов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num" w:pos="72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Ремонтирует типовые детали и механизмы промышленного оборудования, основных металлорежущих станков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Проводит испытания оборудования по окончанию ремонтных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186" w:type="dxa"/>
            <w:vMerge w:val="continue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82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3" w:type="dxa"/>
            <w:textDirection w:val="lrTb"/>
            <w:noWrap w:val="false"/>
          </w:tcPr>
          <w:p>
            <w:pPr>
              <w:tabs>
                <w:tab w:val="num" w:pos="72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ПК.3.3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существлять регулировку механизмов отдельных деталей и узлов, входящих в состав оборудования, агрегатов и машин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4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профилактическое обслуживание простых механизмов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техническое обслуживание механизмов, оборудования, агрегатов и машин средней сложности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техническое обслуживание сложных деталей, узлов и механизмов, оборудования, агрегатов и машин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техническое обслуживание металлорежущих станков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186" w:type="dxa"/>
            <w:vMerge w:val="continue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3" w:type="dxa"/>
            <w:textDirection w:val="lrTb"/>
            <w:noWrap w:val="false"/>
          </w:tcPr>
          <w:p>
            <w:pPr>
              <w:tabs>
                <w:tab w:val="num" w:pos="72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ПК.3.4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пределять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дефектацию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отдельных деталей и узлов, входящих в состав оборудования, агрегатов и машин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44" w:type="dxa"/>
            <w:textDirection w:val="lrTb"/>
            <w:noWrap w:val="false"/>
          </w:tcPr>
          <w:p>
            <w:pPr>
              <w:spacing w:after="38" w:line="23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сборку и регулировки приспособлений, режущего и измерительного инструмента в соответствии с техническим заданием с соблюдением требований охраны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Контролирует, выявляет и устраняет неисправности при сборке и регулировке приспособлений, режущего и измерительного инструмента ремонтирует приспособления, режущий и измерительный инструмент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86" w:type="dxa"/>
            <w:vMerge w:val="continue"/>
            <w:textDirection w:val="lrTb"/>
            <w:noWrap w:val="false"/>
          </w:tcPr>
          <w:p>
            <w:pPr>
              <w:ind w:right="133" w:firstLine="709"/>
              <w:spacing w:line="26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Courier New">
    <w:panose1 w:val="02070409020205020404"/>
  </w:font>
  <w:font w:name="Segoe UI">
    <w:panose1 w:val="020B0502040504020204"/>
  </w:font>
  <w:font w:name="Symbol">
    <w:panose1 w:val="05010000000000000000"/>
  </w:font>
  <w:font w:name="Times New Roman Полужирный"/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57"/>
    <w:next w:val="65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5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57"/>
    <w:next w:val="65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5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57"/>
    <w:next w:val="65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5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57"/>
    <w:next w:val="65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5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57"/>
    <w:next w:val="65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5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57"/>
    <w:next w:val="65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5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57"/>
    <w:next w:val="65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5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57"/>
    <w:next w:val="65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5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57"/>
    <w:next w:val="65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5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5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57"/>
    <w:next w:val="65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58"/>
    <w:link w:val="34"/>
    <w:uiPriority w:val="10"/>
    <w:rPr>
      <w:sz w:val="48"/>
      <w:szCs w:val="48"/>
    </w:rPr>
  </w:style>
  <w:style w:type="paragraph" w:styleId="36">
    <w:name w:val="Subtitle"/>
    <w:basedOn w:val="657"/>
    <w:next w:val="65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58"/>
    <w:link w:val="36"/>
    <w:uiPriority w:val="11"/>
    <w:rPr>
      <w:sz w:val="24"/>
      <w:szCs w:val="24"/>
    </w:rPr>
  </w:style>
  <w:style w:type="paragraph" w:styleId="38">
    <w:name w:val="Quote"/>
    <w:basedOn w:val="657"/>
    <w:next w:val="65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57"/>
    <w:next w:val="65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5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58"/>
    <w:link w:val="42"/>
    <w:uiPriority w:val="99"/>
  </w:style>
  <w:style w:type="paragraph" w:styleId="44">
    <w:name w:val="Footer"/>
    <w:basedOn w:val="65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58"/>
    <w:link w:val="44"/>
    <w:uiPriority w:val="99"/>
  </w:style>
  <w:style w:type="paragraph" w:styleId="46">
    <w:name w:val="Caption"/>
    <w:basedOn w:val="657"/>
    <w:next w:val="65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5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5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5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5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666"/>
    <w:uiPriority w:val="99"/>
    <w:rPr>
      <w:sz w:val="18"/>
    </w:rPr>
  </w:style>
  <w:style w:type="paragraph" w:styleId="178">
    <w:name w:val="endnote text"/>
    <w:basedOn w:val="65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58"/>
    <w:uiPriority w:val="99"/>
    <w:semiHidden/>
    <w:unhideWhenUsed/>
    <w:rPr>
      <w:vertAlign w:val="superscript"/>
    </w:rPr>
  </w:style>
  <w:style w:type="paragraph" w:styleId="181">
    <w:name w:val="toc 1"/>
    <w:basedOn w:val="657"/>
    <w:next w:val="65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57"/>
    <w:next w:val="65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57"/>
    <w:next w:val="65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57"/>
    <w:next w:val="65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57"/>
    <w:next w:val="65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57"/>
    <w:next w:val="65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57"/>
    <w:next w:val="65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57"/>
    <w:next w:val="65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57"/>
    <w:next w:val="65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57"/>
    <w:next w:val="657"/>
    <w:uiPriority w:val="99"/>
    <w:unhideWhenUsed/>
    <w:pPr>
      <w:spacing w:after="0" w:afterAutospacing="0"/>
    </w:pPr>
  </w:style>
  <w:style w:type="paragraph" w:styleId="657" w:default="1">
    <w:name w:val="Normal"/>
    <w:qFormat/>
  </w:style>
  <w:style w:type="character" w:styleId="658" w:default="1">
    <w:name w:val="Default Paragraph Font"/>
    <w:uiPriority w:val="1"/>
    <w:semiHidden/>
    <w:unhideWhenUsed/>
  </w:style>
  <w:style w:type="table" w:styleId="65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0" w:default="1">
    <w:name w:val="No List"/>
    <w:uiPriority w:val="99"/>
    <w:semiHidden/>
    <w:unhideWhenUsed/>
  </w:style>
  <w:style w:type="paragraph" w:styleId="661" w:customStyle="1">
    <w:name w:val="docdata"/>
    <w:basedOn w:val="65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62">
    <w:name w:val="Normal (Web)"/>
    <w:basedOn w:val="657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63">
    <w:name w:val="Hyperlink"/>
    <w:basedOn w:val="658"/>
    <w:uiPriority w:val="99"/>
    <w:semiHidden/>
    <w:unhideWhenUsed/>
    <w:rPr>
      <w:color w:val="0000ff"/>
      <w:u w:val="single"/>
    </w:rPr>
  </w:style>
  <w:style w:type="character" w:styleId="664">
    <w:name w:val="Emphasis"/>
    <w:qFormat/>
    <w:rPr>
      <w:rFonts w:hint="default" w:ascii="Times New Roman" w:hAnsi="Times New Roman" w:cs="Times New Roman"/>
      <w:i/>
      <w:iCs w:val="0"/>
    </w:rPr>
  </w:style>
  <w:style w:type="character" w:styleId="665">
    <w:name w:val="footnote reference"/>
    <w:basedOn w:val="658"/>
    <w:link w:val="671"/>
    <w:uiPriority w:val="99"/>
    <w:unhideWhenUsed/>
  </w:style>
  <w:style w:type="paragraph" w:styleId="666">
    <w:name w:val="footnote text"/>
    <w:basedOn w:val="657"/>
    <w:link w:val="667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67" w:customStyle="1">
    <w:name w:val="Текст сноски Знак"/>
    <w:basedOn w:val="658"/>
    <w:link w:val="666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68" w:customStyle="1">
    <w:name w:val="apple-converted-space"/>
  </w:style>
  <w:style w:type="character" w:styleId="669">
    <w:name w:val="HTML Cite"/>
    <w:uiPriority w:val="99"/>
    <w:unhideWhenUsed/>
    <w:rPr>
      <w:rFonts w:cs="Times New Roman"/>
      <w:i/>
    </w:rPr>
  </w:style>
  <w:style w:type="character" w:styleId="670" w:customStyle="1">
    <w:name w:val="1293"/>
    <w:basedOn w:val="658"/>
  </w:style>
  <w:style w:type="paragraph" w:styleId="671" w:customStyle="1">
    <w:name w:val="Знак сноски1"/>
    <w:basedOn w:val="657"/>
    <w:link w:val="665"/>
    <w:uiPriority w:val="99"/>
    <w:pPr>
      <w:spacing w:after="0" w:line="240" w:lineRule="auto"/>
    </w:pPr>
  </w:style>
  <w:style w:type="character" w:styleId="672" w:customStyle="1">
    <w:name w:val="1537"/>
    <w:basedOn w:val="658"/>
  </w:style>
  <w:style w:type="paragraph" w:styleId="1_888" w:customStyle="1">
    <w:name w:val="Раздел 1.1"/>
    <w:basedOn w:val="1082"/>
    <w:link w:val="1355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profspo.ru/books/99934" TargetMode="External"/><Relationship Id="rId10" Type="http://schemas.openxmlformats.org/officeDocument/2006/relationships/hyperlink" Target="https://profspo.ru/books/102246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Юлия Кисаубаева</cp:lastModifiedBy>
  <cp:revision>48</cp:revision>
  <dcterms:created xsi:type="dcterms:W3CDTF">2025-06-04T03:59:00Z</dcterms:created>
  <dcterms:modified xsi:type="dcterms:W3CDTF">2025-08-12T09:06:20Z</dcterms:modified>
</cp:coreProperties>
</file>